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2718"/>
        <w:gridCol w:w="6308"/>
      </w:tblGrid>
      <w:tr w:rsidR="00A774F4" w:rsidRPr="003C0EB9" w14:paraId="1CDB7CF0" w14:textId="77777777" w:rsidTr="00F90830">
        <w:tc>
          <w:tcPr>
            <w:tcW w:w="2808" w:type="dxa"/>
          </w:tcPr>
          <w:p w14:paraId="55D2810A" w14:textId="77777777" w:rsidR="00A774F4" w:rsidRPr="003C0EB9" w:rsidRDefault="00A774F4" w:rsidP="00F90830">
            <w:pPr>
              <w:jc w:val="center"/>
              <w:rPr>
                <w:rFonts w:eastAsia="SimSun" w:cs="Arial"/>
                <w:b/>
                <w:szCs w:val="18"/>
                <w:lang w:val="el-GR" w:eastAsia="zh-CN"/>
              </w:rPr>
            </w:pPr>
            <w:r w:rsidRPr="003C0EB9">
              <w:rPr>
                <w:rFonts w:eastAsia="SimSun" w:cs="Arial"/>
                <w:noProof/>
                <w:szCs w:val="18"/>
                <w:lang w:val="en-US" w:eastAsia="en-US"/>
              </w:rPr>
              <w:drawing>
                <wp:inline distT="0" distB="0" distL="0" distR="0" wp14:anchorId="4A853A02" wp14:editId="740F2BE6">
                  <wp:extent cx="650240" cy="670560"/>
                  <wp:effectExtent l="0" t="0" r="0" b="0"/>
                  <wp:docPr id="1" name="Picture 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240" cy="670560"/>
                          </a:xfrm>
                          <a:prstGeom prst="rect">
                            <a:avLst/>
                          </a:prstGeom>
                          <a:noFill/>
                          <a:ln>
                            <a:noFill/>
                          </a:ln>
                        </pic:spPr>
                      </pic:pic>
                    </a:graphicData>
                  </a:graphic>
                </wp:inline>
              </w:drawing>
            </w:r>
          </w:p>
        </w:tc>
        <w:tc>
          <w:tcPr>
            <w:tcW w:w="6660" w:type="dxa"/>
          </w:tcPr>
          <w:p w14:paraId="07AD4277" w14:textId="77777777" w:rsidR="00A774F4" w:rsidRPr="003C0EB9" w:rsidRDefault="00A774F4" w:rsidP="00F90830">
            <w:pPr>
              <w:jc w:val="center"/>
              <w:rPr>
                <w:rFonts w:eastAsia="SimSun" w:cs="Arial"/>
                <w:b/>
                <w:szCs w:val="18"/>
                <w:lang w:eastAsia="zh-CN"/>
              </w:rPr>
            </w:pPr>
          </w:p>
        </w:tc>
      </w:tr>
      <w:tr w:rsidR="00A774F4" w:rsidRPr="003C0EB9" w14:paraId="648779EB" w14:textId="77777777" w:rsidTr="00F90830">
        <w:tc>
          <w:tcPr>
            <w:tcW w:w="2808" w:type="dxa"/>
          </w:tcPr>
          <w:p w14:paraId="2B54D563" w14:textId="77777777" w:rsidR="00A774F4" w:rsidRPr="003C0EB9" w:rsidRDefault="00A774F4" w:rsidP="00F90830">
            <w:pPr>
              <w:jc w:val="center"/>
              <w:rPr>
                <w:rFonts w:eastAsia="SimSun" w:cs="Arial"/>
                <w:b/>
                <w:szCs w:val="18"/>
                <w:lang w:val="el-GR" w:eastAsia="zh-CN"/>
              </w:rPr>
            </w:pPr>
            <w:r w:rsidRPr="003C0EB9">
              <w:rPr>
                <w:rFonts w:eastAsia="SimSun" w:cs="Arial"/>
                <w:b/>
                <w:szCs w:val="18"/>
                <w:lang w:val="el-GR" w:eastAsia="zh-CN"/>
              </w:rPr>
              <w:t>ΚΥΠΡΙΑΚΗ ΔΗΜΟΚΡΑΤΙΑ</w:t>
            </w:r>
          </w:p>
          <w:p w14:paraId="708AF467" w14:textId="77777777" w:rsidR="00A774F4" w:rsidRPr="003C0EB9" w:rsidRDefault="00A774F4" w:rsidP="00F90830">
            <w:pPr>
              <w:jc w:val="center"/>
              <w:rPr>
                <w:rFonts w:eastAsia="SimSun" w:cs="Arial"/>
                <w:szCs w:val="18"/>
                <w:lang w:val="el-GR" w:eastAsia="zh-CN"/>
              </w:rPr>
            </w:pPr>
            <w:r w:rsidRPr="003C0EB9">
              <w:rPr>
                <w:rFonts w:eastAsia="SimSun" w:cs="Arial"/>
                <w:b/>
                <w:szCs w:val="18"/>
                <w:lang w:val="el-GR" w:eastAsia="zh-CN"/>
              </w:rPr>
              <w:t>ΥΠΟΥΡΓΕΙΟ ΥΓΕΙΑΣ</w:t>
            </w:r>
          </w:p>
        </w:tc>
        <w:tc>
          <w:tcPr>
            <w:tcW w:w="6660" w:type="dxa"/>
          </w:tcPr>
          <w:p w14:paraId="1DCF1186" w14:textId="2B78FB9A" w:rsidR="00A774F4" w:rsidRPr="003C0EB9" w:rsidRDefault="00A774F4" w:rsidP="00F90830">
            <w:pPr>
              <w:jc w:val="center"/>
              <w:rPr>
                <w:rFonts w:eastAsia="SimSun" w:cs="Arial"/>
                <w:b/>
                <w:bCs/>
                <w:szCs w:val="18"/>
                <w:lang w:val="el-GR" w:eastAsia="zh-CN"/>
              </w:rPr>
            </w:pPr>
            <w:r w:rsidRPr="003C0EB9">
              <w:rPr>
                <w:rFonts w:eastAsia="SimSun" w:cs="Arial"/>
                <w:b/>
                <w:bCs/>
                <w:szCs w:val="18"/>
                <w:lang w:eastAsia="zh-CN"/>
              </w:rPr>
              <w:t xml:space="preserve">                                        </w:t>
            </w:r>
            <w:r w:rsidRPr="003C0EB9">
              <w:rPr>
                <w:rFonts w:eastAsia="SimSun" w:cs="Arial"/>
                <w:b/>
                <w:bCs/>
                <w:szCs w:val="18"/>
                <w:lang w:val="el-GR" w:eastAsia="zh-CN"/>
              </w:rPr>
              <w:t xml:space="preserve">ΦΑΡΜΑΚΕΥΤΙΚΕΣ </w:t>
            </w:r>
            <w:r w:rsidR="00E25064">
              <w:rPr>
                <w:rFonts w:eastAsia="SimSun" w:cs="Arial"/>
                <w:b/>
                <w:bCs/>
                <w:szCs w:val="18"/>
                <w:lang w:val="el-GR" w:eastAsia="zh-CN"/>
              </w:rPr>
              <w:t xml:space="preserve">    </w:t>
            </w:r>
            <w:r w:rsidRPr="003C0EB9">
              <w:rPr>
                <w:rFonts w:eastAsia="SimSun" w:cs="Arial"/>
                <w:b/>
                <w:bCs/>
                <w:szCs w:val="18"/>
                <w:lang w:val="el-GR" w:eastAsia="zh-CN"/>
              </w:rPr>
              <w:t>ΥΠΗΡΕΣΙΕΣ</w:t>
            </w:r>
          </w:p>
          <w:p w14:paraId="2BE01022" w14:textId="77777777" w:rsidR="00A774F4" w:rsidRPr="003C0EB9" w:rsidRDefault="00A774F4" w:rsidP="00F90830">
            <w:pPr>
              <w:jc w:val="center"/>
              <w:rPr>
                <w:rFonts w:eastAsia="SimSun" w:cs="Arial"/>
                <w:bCs/>
                <w:szCs w:val="18"/>
                <w:lang w:val="el-GR" w:eastAsia="zh-CN"/>
              </w:rPr>
            </w:pPr>
            <w:r w:rsidRPr="003C0EB9">
              <w:rPr>
                <w:rFonts w:eastAsia="SimSun" w:cs="Arial"/>
                <w:bCs/>
                <w:szCs w:val="18"/>
                <w:lang w:val="el-GR" w:eastAsia="zh-CN"/>
              </w:rPr>
              <w:t xml:space="preserve">                                                        </w:t>
            </w:r>
            <w:r w:rsidRPr="003C0EB9">
              <w:rPr>
                <w:rFonts w:eastAsia="SimSun" w:cs="Arial"/>
                <w:bCs/>
                <w:szCs w:val="18"/>
                <w:lang w:eastAsia="zh-CN"/>
              </w:rPr>
              <w:t xml:space="preserve">1475 </w:t>
            </w:r>
            <w:r w:rsidRPr="003C0EB9">
              <w:rPr>
                <w:rFonts w:eastAsia="SimSun" w:cs="Arial"/>
                <w:bCs/>
                <w:szCs w:val="18"/>
                <w:lang w:val="el-GR" w:eastAsia="zh-CN"/>
              </w:rPr>
              <w:t>ΛΕΥΚΩΣΙΑ</w:t>
            </w:r>
          </w:p>
          <w:p w14:paraId="4DD7A2A5" w14:textId="77777777" w:rsidR="00A774F4" w:rsidRPr="003C0EB9" w:rsidRDefault="00A774F4" w:rsidP="00F90830">
            <w:pPr>
              <w:jc w:val="center"/>
              <w:rPr>
                <w:rFonts w:eastAsia="SimSun" w:cs="Arial"/>
                <w:bCs/>
                <w:szCs w:val="18"/>
                <w:lang w:val="el-GR" w:eastAsia="zh-CN"/>
              </w:rPr>
            </w:pPr>
          </w:p>
        </w:tc>
      </w:tr>
      <w:tr w:rsidR="00E25064" w:rsidRPr="003C0EB9" w14:paraId="7BE734A3" w14:textId="77777777" w:rsidTr="00F90830">
        <w:tc>
          <w:tcPr>
            <w:tcW w:w="2808" w:type="dxa"/>
          </w:tcPr>
          <w:p w14:paraId="431A7A11" w14:textId="77777777" w:rsidR="00E25064" w:rsidRPr="003C0EB9" w:rsidRDefault="00E25064" w:rsidP="00E25064">
            <w:pPr>
              <w:rPr>
                <w:rFonts w:eastAsia="SimSun" w:cs="Arial"/>
                <w:b/>
                <w:szCs w:val="18"/>
                <w:lang w:val="el-GR" w:eastAsia="zh-CN"/>
              </w:rPr>
            </w:pPr>
          </w:p>
        </w:tc>
        <w:tc>
          <w:tcPr>
            <w:tcW w:w="6660" w:type="dxa"/>
          </w:tcPr>
          <w:p w14:paraId="69C9C068" w14:textId="77777777" w:rsidR="00E25064" w:rsidRPr="003C0EB9" w:rsidRDefault="00E25064" w:rsidP="00F90830">
            <w:pPr>
              <w:jc w:val="center"/>
              <w:rPr>
                <w:rFonts w:eastAsia="SimSun" w:cs="Arial"/>
                <w:b/>
                <w:bCs/>
                <w:szCs w:val="18"/>
                <w:lang w:eastAsia="zh-CN"/>
              </w:rPr>
            </w:pPr>
          </w:p>
        </w:tc>
      </w:tr>
    </w:tbl>
    <w:p w14:paraId="3C5D0E61" w14:textId="77777777" w:rsidR="00A774F4" w:rsidRPr="003C0EB9" w:rsidRDefault="00A774F4" w:rsidP="00A774F4">
      <w:pPr>
        <w:rPr>
          <w:rFonts w:eastAsia="SimSun" w:cs="Arial"/>
          <w:sz w:val="8"/>
          <w:szCs w:val="18"/>
          <w:lang w:val="el-GR"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774F4" w:rsidRPr="00BE3268" w14:paraId="0CB9615C" w14:textId="77777777" w:rsidTr="00F90830">
        <w:trPr>
          <w:jc w:val="center"/>
        </w:trPr>
        <w:tc>
          <w:tcPr>
            <w:tcW w:w="8522" w:type="dxa"/>
          </w:tcPr>
          <w:p w14:paraId="58FD6931" w14:textId="77777777" w:rsidR="00A774F4" w:rsidRPr="003C0EB9" w:rsidRDefault="00A774F4" w:rsidP="00F90830">
            <w:pPr>
              <w:jc w:val="center"/>
              <w:rPr>
                <w:rFonts w:eastAsia="SimSun" w:cs="Arial"/>
                <w:b/>
                <w:szCs w:val="18"/>
                <w:lang w:val="el-GR" w:eastAsia="zh-CN"/>
              </w:rPr>
            </w:pPr>
            <w:r w:rsidRPr="003C0EB9">
              <w:rPr>
                <w:rFonts w:eastAsia="SimSun" w:cs="Arial"/>
                <w:b/>
                <w:szCs w:val="18"/>
                <w:lang w:val="el-GR" w:eastAsia="zh-CN"/>
              </w:rPr>
              <w:t>ΑΠΟΣΤΟΛΗ ΜΕ ΦΑΞ Η/ΚΑΙ ΜΕ ΗΛΕΚΤΡΟΝΙΚΟ ΤΑΧΥΔΡΟΜΕΙΟ</w:t>
            </w:r>
          </w:p>
        </w:tc>
      </w:tr>
    </w:tbl>
    <w:p w14:paraId="3ED8B0C2" w14:textId="77777777" w:rsidR="00A774F4" w:rsidRPr="003C0EB9" w:rsidRDefault="00A774F4" w:rsidP="00A774F4">
      <w:pPr>
        <w:rPr>
          <w:rFonts w:eastAsia="SimSun" w:cs="Arial"/>
          <w:sz w:val="22"/>
          <w:szCs w:val="18"/>
          <w:lang w:val="el-GR" w:eastAsia="zh-CN"/>
        </w:rPr>
      </w:pPr>
    </w:p>
    <w:p w14:paraId="5248D9CC" w14:textId="034A3B13" w:rsidR="00A774F4" w:rsidRPr="003C0EB9" w:rsidRDefault="00A774F4" w:rsidP="009E5CFE">
      <w:pPr>
        <w:ind w:right="-514"/>
        <w:jc w:val="both"/>
        <w:rPr>
          <w:rFonts w:eastAsia="SimSun" w:cs="Arial"/>
          <w:sz w:val="20"/>
          <w:szCs w:val="18"/>
          <w:lang w:val="el-GR" w:eastAsia="zh-CN"/>
        </w:rPr>
      </w:pPr>
      <w:r w:rsidRPr="003C0EB9">
        <w:rPr>
          <w:rFonts w:eastAsia="SimSun" w:cs="Arial"/>
          <w:sz w:val="20"/>
          <w:szCs w:val="18"/>
          <w:lang w:val="el-GR" w:eastAsia="zh-CN"/>
        </w:rPr>
        <w:t>Αρ. Φακ.:</w:t>
      </w:r>
      <w:r w:rsidRPr="003C0EB9">
        <w:rPr>
          <w:rFonts w:eastAsia="SimSun" w:cs="Arial"/>
          <w:sz w:val="20"/>
          <w:szCs w:val="18"/>
          <w:lang w:val="el-GR" w:eastAsia="zh-CN"/>
        </w:rPr>
        <w:tab/>
        <w:t>Φ.Υ 4.12.10.14</w:t>
      </w:r>
      <w:r w:rsidRPr="003C0EB9">
        <w:rPr>
          <w:rFonts w:eastAsia="SimSun" w:cs="Arial"/>
          <w:bCs/>
          <w:sz w:val="20"/>
          <w:szCs w:val="18"/>
          <w:lang w:val="el-GR" w:eastAsia="zh-CN"/>
        </w:rPr>
        <w:t xml:space="preserve"> </w:t>
      </w:r>
      <w:r w:rsidRPr="003C0EB9">
        <w:rPr>
          <w:rFonts w:eastAsia="SimSun" w:cs="Arial"/>
          <w:bCs/>
          <w:sz w:val="20"/>
          <w:szCs w:val="18"/>
          <w:lang w:val="el-GR" w:eastAsia="zh-CN"/>
        </w:rPr>
        <w:tab/>
      </w:r>
      <w:r w:rsidRPr="003C0EB9">
        <w:rPr>
          <w:rFonts w:eastAsia="SimSun" w:cs="Arial"/>
          <w:bCs/>
          <w:sz w:val="20"/>
          <w:szCs w:val="18"/>
          <w:lang w:val="el-GR" w:eastAsia="zh-CN"/>
        </w:rPr>
        <w:tab/>
      </w:r>
      <w:r w:rsidRPr="003C0EB9">
        <w:rPr>
          <w:rFonts w:eastAsia="SimSun" w:cs="Arial"/>
          <w:bCs/>
          <w:sz w:val="20"/>
          <w:szCs w:val="18"/>
          <w:lang w:val="el-GR" w:eastAsia="zh-CN"/>
        </w:rPr>
        <w:tab/>
      </w:r>
      <w:r w:rsidRPr="003C0EB9">
        <w:rPr>
          <w:rFonts w:eastAsia="SimSun" w:cs="Arial"/>
          <w:bCs/>
          <w:sz w:val="20"/>
          <w:szCs w:val="18"/>
          <w:lang w:val="el-GR" w:eastAsia="zh-CN"/>
        </w:rPr>
        <w:tab/>
      </w:r>
      <w:r w:rsidRPr="003C0EB9">
        <w:rPr>
          <w:rFonts w:eastAsia="SimSun" w:cs="Arial"/>
          <w:bCs/>
          <w:sz w:val="20"/>
          <w:szCs w:val="18"/>
          <w:lang w:val="el-GR" w:eastAsia="zh-CN"/>
        </w:rPr>
        <w:tab/>
      </w:r>
      <w:r w:rsidR="00BE3268" w:rsidRPr="00BE3268">
        <w:rPr>
          <w:rFonts w:eastAsia="SimSun" w:cs="Arial"/>
          <w:bCs/>
          <w:sz w:val="20"/>
          <w:szCs w:val="18"/>
          <w:lang w:val="el-GR" w:eastAsia="zh-CN"/>
        </w:rPr>
        <w:t>04</w:t>
      </w:r>
      <w:r w:rsidR="00C9486E" w:rsidRPr="00C9486E">
        <w:rPr>
          <w:rFonts w:eastAsia="SimSun" w:cs="Arial"/>
          <w:bCs/>
          <w:sz w:val="20"/>
          <w:szCs w:val="18"/>
          <w:lang w:val="el-GR" w:eastAsia="zh-CN"/>
        </w:rPr>
        <w:t xml:space="preserve"> </w:t>
      </w:r>
      <w:r w:rsidR="00BE3268">
        <w:rPr>
          <w:rFonts w:eastAsia="SimSun" w:cs="Arial"/>
          <w:bCs/>
          <w:sz w:val="20"/>
          <w:szCs w:val="18"/>
          <w:lang w:val="el-GR" w:eastAsia="zh-CN"/>
        </w:rPr>
        <w:t>Οκτωβρίου</w:t>
      </w:r>
      <w:r w:rsidR="00C9486E">
        <w:rPr>
          <w:rFonts w:eastAsia="SimSun" w:cs="Arial"/>
          <w:bCs/>
          <w:sz w:val="20"/>
          <w:szCs w:val="18"/>
          <w:lang w:val="el-GR" w:eastAsia="zh-CN"/>
        </w:rPr>
        <w:t xml:space="preserve"> </w:t>
      </w:r>
      <w:r w:rsidR="00E25064">
        <w:rPr>
          <w:rFonts w:eastAsia="SimSun" w:cs="Arial"/>
          <w:bCs/>
          <w:sz w:val="20"/>
          <w:szCs w:val="18"/>
          <w:lang w:val="el-GR" w:eastAsia="zh-CN"/>
        </w:rPr>
        <w:t>2021</w:t>
      </w:r>
      <w:r w:rsidR="009E5CFE">
        <w:rPr>
          <w:rFonts w:eastAsia="SimSun" w:cs="Arial"/>
          <w:bCs/>
          <w:sz w:val="20"/>
          <w:szCs w:val="18"/>
          <w:lang w:val="el-GR" w:eastAsia="zh-CN"/>
        </w:rPr>
        <w:t xml:space="preserve"> </w:t>
      </w:r>
      <w:r w:rsidR="009E5CFE">
        <w:rPr>
          <w:rFonts w:eastAsia="SimSun" w:cs="Arial"/>
          <w:bCs/>
          <w:sz w:val="20"/>
          <w:szCs w:val="18"/>
          <w:lang w:val="el-GR" w:eastAsia="zh-CN"/>
        </w:rPr>
        <w:tab/>
        <w:t xml:space="preserve">         </w:t>
      </w:r>
      <w:r w:rsidRPr="003C0EB9">
        <w:rPr>
          <w:rFonts w:eastAsia="SimSun" w:cs="Arial"/>
          <w:sz w:val="20"/>
          <w:szCs w:val="18"/>
          <w:lang w:val="el-GR" w:eastAsia="zh-CN"/>
        </w:rPr>
        <w:t>Αρ. Τηλ.:</w:t>
      </w:r>
      <w:r w:rsidRPr="003C0EB9">
        <w:rPr>
          <w:rFonts w:eastAsia="SimSun" w:cs="Arial"/>
          <w:sz w:val="20"/>
          <w:szCs w:val="18"/>
          <w:lang w:val="el-GR" w:eastAsia="zh-CN"/>
        </w:rPr>
        <w:tab/>
        <w:t>22608</w:t>
      </w:r>
      <w:r w:rsidR="009E5CFE">
        <w:rPr>
          <w:rFonts w:eastAsia="SimSun" w:cs="Arial"/>
          <w:sz w:val="20"/>
          <w:szCs w:val="18"/>
          <w:lang w:val="el-GR" w:eastAsia="zh-CN"/>
        </w:rPr>
        <w:t>652</w:t>
      </w:r>
    </w:p>
    <w:p w14:paraId="4FD8545B" w14:textId="77777777" w:rsidR="00A774F4" w:rsidRPr="003C0EB9" w:rsidRDefault="00F90830" w:rsidP="00A774F4">
      <w:pPr>
        <w:ind w:right="-284"/>
        <w:jc w:val="both"/>
        <w:rPr>
          <w:rFonts w:eastAsia="SimSun" w:cs="Arial"/>
          <w:sz w:val="20"/>
          <w:szCs w:val="18"/>
          <w:lang w:val="el-GR" w:eastAsia="zh-CN"/>
        </w:rPr>
      </w:pPr>
      <w:r w:rsidRPr="003C0EB9">
        <w:rPr>
          <w:rFonts w:eastAsia="SimSun" w:cs="Arial"/>
          <w:sz w:val="20"/>
          <w:szCs w:val="18"/>
          <w:lang w:val="el-GR" w:eastAsia="zh-CN"/>
        </w:rPr>
        <w:t>Αρ. Φαξ :</w:t>
      </w:r>
      <w:r w:rsidRPr="003C0EB9">
        <w:rPr>
          <w:rFonts w:eastAsia="SimSun" w:cs="Arial"/>
          <w:sz w:val="20"/>
          <w:szCs w:val="18"/>
          <w:lang w:val="el-GR" w:eastAsia="zh-CN"/>
        </w:rPr>
        <w:tab/>
        <w:t>2260866</w:t>
      </w:r>
      <w:r w:rsidR="00A774F4" w:rsidRPr="003C0EB9">
        <w:rPr>
          <w:rFonts w:eastAsia="SimSun" w:cs="Arial"/>
          <w:sz w:val="20"/>
          <w:szCs w:val="18"/>
          <w:lang w:val="el-GR" w:eastAsia="zh-CN"/>
        </w:rPr>
        <w:t>9</w:t>
      </w:r>
    </w:p>
    <w:p w14:paraId="3928FA74" w14:textId="134B1491" w:rsidR="00A774F4" w:rsidRPr="00210A31" w:rsidRDefault="00A774F4" w:rsidP="00A774F4">
      <w:pPr>
        <w:ind w:right="-284"/>
        <w:jc w:val="both"/>
        <w:rPr>
          <w:rFonts w:eastAsia="SimSun" w:cs="Arial"/>
          <w:sz w:val="20"/>
          <w:szCs w:val="18"/>
          <w:lang w:val="el-GR" w:eastAsia="zh-CN"/>
        </w:rPr>
      </w:pPr>
      <w:r w:rsidRPr="003C0EB9">
        <w:rPr>
          <w:rFonts w:eastAsia="SimSun" w:cs="Arial"/>
          <w:sz w:val="20"/>
          <w:szCs w:val="18"/>
          <w:lang w:eastAsia="zh-CN"/>
        </w:rPr>
        <w:t>Email</w:t>
      </w:r>
      <w:r w:rsidRPr="00210A31">
        <w:rPr>
          <w:rFonts w:eastAsia="SimSun" w:cs="Arial"/>
          <w:sz w:val="20"/>
          <w:szCs w:val="18"/>
          <w:lang w:val="el-GR" w:eastAsia="zh-CN"/>
        </w:rPr>
        <w:t>:</w:t>
      </w:r>
      <w:r w:rsidRPr="00210A31">
        <w:rPr>
          <w:rFonts w:eastAsia="SimSun" w:cs="Arial"/>
          <w:sz w:val="20"/>
          <w:szCs w:val="18"/>
          <w:lang w:val="el-GR" w:eastAsia="zh-CN"/>
        </w:rPr>
        <w:tab/>
      </w:r>
      <w:r w:rsidRPr="00210A31">
        <w:rPr>
          <w:rFonts w:eastAsia="SimSun" w:cs="Arial"/>
          <w:sz w:val="20"/>
          <w:szCs w:val="18"/>
          <w:lang w:val="el-GR" w:eastAsia="zh-CN"/>
        </w:rPr>
        <w:tab/>
      </w:r>
      <w:r w:rsidR="00AF76DD">
        <w:rPr>
          <w:rFonts w:eastAsia="SimSun" w:cs="Arial"/>
          <w:sz w:val="20"/>
          <w:szCs w:val="18"/>
          <w:lang w:val="en-US" w:eastAsia="zh-CN"/>
        </w:rPr>
        <w:t>ppsaras</w:t>
      </w:r>
      <w:r w:rsidR="00210A31" w:rsidRPr="00210A31">
        <w:rPr>
          <w:rFonts w:eastAsia="SimSun" w:cs="Arial"/>
          <w:sz w:val="20"/>
          <w:szCs w:val="18"/>
          <w:lang w:val="el-GR" w:eastAsia="zh-CN"/>
        </w:rPr>
        <w:t>@</w:t>
      </w:r>
      <w:r w:rsidR="00210A31">
        <w:rPr>
          <w:rFonts w:eastAsia="SimSun" w:cs="Arial"/>
          <w:sz w:val="20"/>
          <w:szCs w:val="18"/>
          <w:lang w:val="en-US" w:eastAsia="zh-CN"/>
        </w:rPr>
        <w:t>phs</w:t>
      </w:r>
      <w:r w:rsidR="00210A31" w:rsidRPr="00210A31">
        <w:rPr>
          <w:rFonts w:eastAsia="SimSun" w:cs="Arial"/>
          <w:sz w:val="20"/>
          <w:szCs w:val="18"/>
          <w:lang w:val="el-GR" w:eastAsia="zh-CN"/>
        </w:rPr>
        <w:t>.</w:t>
      </w:r>
      <w:r w:rsidR="00210A31">
        <w:rPr>
          <w:rFonts w:eastAsia="SimSun" w:cs="Arial"/>
          <w:sz w:val="20"/>
          <w:szCs w:val="18"/>
          <w:lang w:val="en-US" w:eastAsia="zh-CN"/>
        </w:rPr>
        <w:t>moh</w:t>
      </w:r>
      <w:r w:rsidR="00210A31" w:rsidRPr="00210A31">
        <w:rPr>
          <w:rFonts w:eastAsia="SimSun" w:cs="Arial"/>
          <w:sz w:val="20"/>
          <w:szCs w:val="18"/>
          <w:lang w:val="el-GR" w:eastAsia="zh-CN"/>
        </w:rPr>
        <w:t>.</w:t>
      </w:r>
      <w:r w:rsidR="00210A31">
        <w:rPr>
          <w:rFonts w:eastAsia="SimSun" w:cs="Arial"/>
          <w:sz w:val="20"/>
          <w:szCs w:val="18"/>
          <w:lang w:val="en-US" w:eastAsia="zh-CN"/>
        </w:rPr>
        <w:t>gov</w:t>
      </w:r>
      <w:r w:rsidR="00210A31" w:rsidRPr="00210A31">
        <w:rPr>
          <w:rFonts w:eastAsia="SimSun" w:cs="Arial"/>
          <w:sz w:val="20"/>
          <w:szCs w:val="18"/>
          <w:lang w:val="el-GR" w:eastAsia="zh-CN"/>
        </w:rPr>
        <w:t>.</w:t>
      </w:r>
      <w:r w:rsidR="00210A31">
        <w:rPr>
          <w:rFonts w:eastAsia="SimSun" w:cs="Arial"/>
          <w:sz w:val="20"/>
          <w:szCs w:val="18"/>
          <w:lang w:val="en-US" w:eastAsia="zh-CN"/>
        </w:rPr>
        <w:t>cy</w:t>
      </w:r>
    </w:p>
    <w:p w14:paraId="741D1458" w14:textId="77777777" w:rsidR="00A774F4" w:rsidRPr="00210A31" w:rsidRDefault="00A774F4" w:rsidP="00A774F4">
      <w:pPr>
        <w:ind w:right="-284"/>
        <w:jc w:val="both"/>
        <w:rPr>
          <w:rFonts w:eastAsia="SimSun" w:cs="Arial"/>
          <w:b/>
          <w:sz w:val="20"/>
          <w:szCs w:val="18"/>
          <w:u w:val="single"/>
          <w:lang w:val="el-GR" w:eastAsia="zh-CN"/>
        </w:rPr>
      </w:pPr>
    </w:p>
    <w:p w14:paraId="1AA27CDE" w14:textId="1C81B04D" w:rsidR="00A774F4" w:rsidRPr="003C0EB9" w:rsidRDefault="00A774F4" w:rsidP="00A774F4">
      <w:pPr>
        <w:outlineLvl w:val="0"/>
        <w:rPr>
          <w:rFonts w:eastAsia="SimSun" w:cs="Arial"/>
          <w:sz w:val="20"/>
          <w:szCs w:val="18"/>
          <w:lang w:val="el-GR" w:eastAsia="zh-CN"/>
        </w:rPr>
      </w:pPr>
      <w:r w:rsidRPr="003C0EB9">
        <w:rPr>
          <w:rFonts w:eastAsia="SimSun" w:cs="Arial"/>
          <w:sz w:val="20"/>
          <w:szCs w:val="18"/>
          <w:lang w:val="el-GR" w:eastAsia="zh-CN"/>
        </w:rPr>
        <w:t xml:space="preserve">Αρ. σελίδων </w:t>
      </w:r>
      <w:r w:rsidR="00A5467C">
        <w:rPr>
          <w:rFonts w:eastAsia="SimSun" w:cs="Arial"/>
          <w:b/>
          <w:sz w:val="20"/>
          <w:szCs w:val="18"/>
          <w:lang w:val="el-GR" w:eastAsia="zh-CN"/>
        </w:rPr>
        <w:t>3</w:t>
      </w:r>
      <w:r w:rsidRPr="003C0EB9">
        <w:rPr>
          <w:rFonts w:eastAsia="SimSun" w:cs="Arial"/>
          <w:color w:val="FF0000"/>
          <w:sz w:val="20"/>
          <w:szCs w:val="18"/>
          <w:lang w:val="el-GR" w:eastAsia="zh-CN"/>
        </w:rPr>
        <w:t xml:space="preserve"> </w:t>
      </w:r>
      <w:r w:rsidRPr="003C0EB9">
        <w:rPr>
          <w:rFonts w:eastAsia="SimSun" w:cs="Arial"/>
          <w:sz w:val="20"/>
          <w:szCs w:val="18"/>
          <w:lang w:val="el-GR" w:eastAsia="zh-CN"/>
        </w:rPr>
        <w:t>(συμπεριλαμβανομένης και αυτής)</w:t>
      </w:r>
    </w:p>
    <w:p w14:paraId="669CFEBA" w14:textId="77777777" w:rsidR="00A774F4" w:rsidRPr="003C0EB9" w:rsidRDefault="00A774F4" w:rsidP="00A774F4">
      <w:pPr>
        <w:rPr>
          <w:rFonts w:eastAsia="SimSun" w:cs="Arial"/>
          <w:sz w:val="20"/>
          <w:szCs w:val="18"/>
          <w:lang w:val="el-GR" w:eastAsia="zh-CN"/>
        </w:rPr>
      </w:pPr>
    </w:p>
    <w:p w14:paraId="2FE51A9C" w14:textId="77777777" w:rsidR="00A774F4" w:rsidRPr="003C0EB9" w:rsidRDefault="00A774F4" w:rsidP="00A774F4">
      <w:pPr>
        <w:outlineLvl w:val="0"/>
        <w:rPr>
          <w:rFonts w:eastAsia="SimSun" w:cs="Arial"/>
          <w:b/>
          <w:sz w:val="20"/>
          <w:szCs w:val="18"/>
          <w:u w:val="single"/>
          <w:lang w:val="el-GR" w:eastAsia="zh-CN"/>
        </w:rPr>
      </w:pPr>
      <w:r w:rsidRPr="003C0EB9">
        <w:rPr>
          <w:rFonts w:eastAsia="SimSun" w:cs="Arial"/>
          <w:b/>
          <w:sz w:val="20"/>
          <w:szCs w:val="18"/>
          <w:u w:val="single"/>
          <w:lang w:val="el-GR" w:eastAsia="zh-CN"/>
        </w:rPr>
        <w:t>ΠΡΟΣ:</w:t>
      </w:r>
    </w:p>
    <w:p w14:paraId="033AA1E0" w14:textId="77777777" w:rsidR="00A774F4" w:rsidRPr="003C0EB9" w:rsidRDefault="00A774F4" w:rsidP="00A774F4">
      <w:pPr>
        <w:rPr>
          <w:rFonts w:eastAsia="SimSun" w:cs="Arial"/>
          <w:sz w:val="20"/>
          <w:szCs w:val="18"/>
          <w:lang w:val="el-GR" w:eastAsia="zh-CN"/>
        </w:rPr>
      </w:pPr>
    </w:p>
    <w:p w14:paraId="7B60C19F" w14:textId="77777777" w:rsidR="00A774F4" w:rsidRPr="003C0EB9" w:rsidRDefault="00A774F4" w:rsidP="00A774F4">
      <w:pPr>
        <w:rPr>
          <w:rFonts w:eastAsia="SimSun" w:cs="Arial"/>
          <w:sz w:val="20"/>
          <w:szCs w:val="18"/>
          <w:lang w:val="el-GR" w:eastAsia="zh-CN"/>
        </w:rPr>
      </w:pPr>
      <w:r w:rsidRPr="003C0EB9">
        <w:rPr>
          <w:rFonts w:eastAsia="SimSun" w:cs="Arial"/>
          <w:sz w:val="20"/>
          <w:szCs w:val="18"/>
          <w:lang w:val="el-GR" w:eastAsia="zh-CN"/>
        </w:rPr>
        <w:t>κ. Μαργαρίτα Κυριάκου, Λειτουργό Τύπου Υπουργείου Υγείας</w:t>
      </w:r>
    </w:p>
    <w:p w14:paraId="49F0FA42" w14:textId="77777777" w:rsidR="00A774F4" w:rsidRPr="003C0EB9" w:rsidRDefault="00A774F4" w:rsidP="00A774F4">
      <w:pPr>
        <w:rPr>
          <w:rFonts w:eastAsia="SimSun" w:cs="Arial"/>
          <w:sz w:val="20"/>
          <w:szCs w:val="18"/>
          <w:lang w:val="el-GR" w:eastAsia="zh-CN"/>
        </w:rPr>
      </w:pPr>
    </w:p>
    <w:p w14:paraId="3CBD8C5F" w14:textId="77777777" w:rsidR="00A774F4" w:rsidRPr="003C0EB9" w:rsidRDefault="00A774F4" w:rsidP="00A774F4">
      <w:pPr>
        <w:rPr>
          <w:rFonts w:eastAsia="SimSun" w:cs="Arial"/>
          <w:sz w:val="20"/>
          <w:szCs w:val="18"/>
          <w:lang w:val="el-GR" w:eastAsia="zh-CN"/>
        </w:rPr>
      </w:pPr>
      <w:r w:rsidRPr="003C0EB9">
        <w:rPr>
          <w:rFonts w:eastAsia="SimSun" w:cs="Arial"/>
          <w:b/>
          <w:sz w:val="20"/>
          <w:szCs w:val="18"/>
          <w:u w:val="single"/>
          <w:lang w:eastAsia="zh-CN"/>
        </w:rPr>
        <w:t>K</w:t>
      </w:r>
      <w:r w:rsidRPr="003C0EB9">
        <w:rPr>
          <w:rFonts w:eastAsia="SimSun" w:cs="Arial"/>
          <w:b/>
          <w:sz w:val="20"/>
          <w:szCs w:val="18"/>
          <w:u w:val="single"/>
          <w:lang w:val="el-GR" w:eastAsia="zh-CN"/>
        </w:rPr>
        <w:t>ΟΙΝΟΠΟΙΗΣΗ (</w:t>
      </w:r>
      <w:r w:rsidRPr="003C0EB9">
        <w:rPr>
          <w:rFonts w:eastAsia="SimSun" w:cs="Arial"/>
          <w:b/>
          <w:sz w:val="20"/>
          <w:szCs w:val="18"/>
          <w:u w:val="single"/>
          <w:lang w:eastAsia="zh-CN"/>
        </w:rPr>
        <w:t>Fax</w:t>
      </w:r>
      <w:r w:rsidRPr="003C0EB9">
        <w:rPr>
          <w:rFonts w:eastAsia="SimSun" w:cs="Arial"/>
          <w:b/>
          <w:sz w:val="20"/>
          <w:szCs w:val="18"/>
          <w:u w:val="single"/>
          <w:lang w:val="el-GR" w:eastAsia="zh-CN"/>
        </w:rPr>
        <w:t xml:space="preserve"> ή </w:t>
      </w:r>
      <w:r w:rsidRPr="003C0EB9">
        <w:rPr>
          <w:rFonts w:eastAsia="SimSun" w:cs="Arial"/>
          <w:b/>
          <w:sz w:val="20"/>
          <w:szCs w:val="18"/>
          <w:u w:val="single"/>
          <w:lang w:eastAsia="zh-CN"/>
        </w:rPr>
        <w:t>email</w:t>
      </w:r>
      <w:r w:rsidRPr="003C0EB9">
        <w:rPr>
          <w:rFonts w:eastAsia="SimSun" w:cs="Arial"/>
          <w:b/>
          <w:sz w:val="20"/>
          <w:szCs w:val="18"/>
          <w:u w:val="single"/>
          <w:lang w:val="el-GR" w:eastAsia="zh-CN"/>
        </w:rPr>
        <w:t>):</w:t>
      </w:r>
    </w:p>
    <w:p w14:paraId="4EBEDC8C" w14:textId="77777777" w:rsidR="00A774F4" w:rsidRPr="003C0EB9" w:rsidRDefault="00A774F4" w:rsidP="00A774F4">
      <w:pPr>
        <w:rPr>
          <w:rFonts w:eastAsia="SimSun" w:cs="Arial"/>
          <w:sz w:val="20"/>
          <w:szCs w:val="18"/>
          <w:lang w:val="el-GR" w:eastAsia="zh-CN"/>
        </w:rPr>
      </w:pPr>
    </w:p>
    <w:p w14:paraId="0B1FBE01" w14:textId="5F81C2B7" w:rsidR="00A774F4" w:rsidRPr="00E64972" w:rsidRDefault="00A774F4" w:rsidP="00A774F4">
      <w:pPr>
        <w:ind w:firstLine="720"/>
        <w:rPr>
          <w:rFonts w:eastAsia="SimSun" w:cs="Arial"/>
          <w:sz w:val="20"/>
          <w:szCs w:val="18"/>
          <w:lang w:val="el-GR" w:eastAsia="zh-CN"/>
        </w:rPr>
      </w:pPr>
      <w:r w:rsidRPr="003C0EB9">
        <w:rPr>
          <w:rFonts w:eastAsia="SimSun" w:cs="Arial"/>
          <w:sz w:val="20"/>
          <w:szCs w:val="18"/>
          <w:lang w:val="el-GR" w:eastAsia="zh-CN"/>
        </w:rPr>
        <w:t>Υπουργό Υγείας</w:t>
      </w:r>
      <w:r w:rsidRPr="003C0EB9">
        <w:rPr>
          <w:rFonts w:eastAsia="SimSun" w:cs="Arial"/>
          <w:sz w:val="20"/>
          <w:szCs w:val="18"/>
          <w:lang w:val="el-GR" w:eastAsia="zh-CN"/>
        </w:rPr>
        <w:tab/>
      </w:r>
      <w:r w:rsidRPr="003C0EB9">
        <w:rPr>
          <w:rFonts w:eastAsia="SimSun" w:cs="Arial"/>
          <w:sz w:val="20"/>
          <w:szCs w:val="18"/>
          <w:lang w:val="el-GR" w:eastAsia="zh-CN"/>
        </w:rPr>
        <w:tab/>
      </w:r>
      <w:r w:rsidRPr="003C0EB9">
        <w:rPr>
          <w:rFonts w:eastAsia="SimSun" w:cs="Arial"/>
          <w:sz w:val="20"/>
          <w:szCs w:val="18"/>
          <w:lang w:val="el-GR" w:eastAsia="zh-CN"/>
        </w:rPr>
        <w:tab/>
      </w:r>
      <w:r w:rsidRPr="003C0EB9">
        <w:rPr>
          <w:rFonts w:eastAsia="SimSun" w:cs="Arial"/>
          <w:sz w:val="20"/>
          <w:szCs w:val="18"/>
          <w:lang w:val="el-GR" w:eastAsia="zh-CN"/>
        </w:rPr>
        <w:tab/>
      </w:r>
      <w:r w:rsidRPr="003C0EB9">
        <w:rPr>
          <w:rFonts w:eastAsia="SimSun" w:cs="Arial"/>
          <w:sz w:val="20"/>
          <w:szCs w:val="18"/>
          <w:lang w:val="el-GR" w:eastAsia="zh-CN"/>
        </w:rPr>
        <w:tab/>
      </w:r>
      <w:r w:rsidR="00E25064" w:rsidRPr="003C0EB9">
        <w:rPr>
          <w:rFonts w:eastAsia="SimSun" w:cs="Arial"/>
          <w:sz w:val="20"/>
          <w:szCs w:val="18"/>
          <w:lang w:eastAsia="zh-CN"/>
        </w:rPr>
        <w:t>email</w:t>
      </w:r>
    </w:p>
    <w:p w14:paraId="5BC8E95B" w14:textId="7F4A4122" w:rsidR="00A774F4" w:rsidRPr="00E64972" w:rsidRDefault="00A774F4" w:rsidP="00A774F4">
      <w:pPr>
        <w:ind w:firstLine="720"/>
        <w:rPr>
          <w:rFonts w:eastAsia="SimSun" w:cs="Arial"/>
          <w:sz w:val="20"/>
          <w:szCs w:val="18"/>
          <w:lang w:val="el-GR" w:eastAsia="zh-CN"/>
        </w:rPr>
      </w:pPr>
      <w:r w:rsidRPr="003C0EB9">
        <w:rPr>
          <w:rFonts w:eastAsia="SimSun" w:cs="Arial"/>
          <w:sz w:val="20"/>
          <w:szCs w:val="18"/>
          <w:lang w:val="el-GR" w:eastAsia="zh-CN"/>
        </w:rPr>
        <w:t xml:space="preserve">Γενική Διευθύντρια Υπουργείου Υγείας </w:t>
      </w:r>
      <w:r w:rsidRPr="003C0EB9">
        <w:rPr>
          <w:rFonts w:eastAsia="SimSun" w:cs="Arial"/>
          <w:sz w:val="20"/>
          <w:szCs w:val="18"/>
          <w:lang w:val="el-GR" w:eastAsia="zh-CN"/>
        </w:rPr>
        <w:tab/>
      </w:r>
      <w:r w:rsidRPr="003C0EB9">
        <w:rPr>
          <w:rFonts w:eastAsia="SimSun" w:cs="Arial"/>
          <w:sz w:val="20"/>
          <w:szCs w:val="18"/>
          <w:lang w:val="el-GR" w:eastAsia="zh-CN"/>
        </w:rPr>
        <w:tab/>
      </w:r>
      <w:r w:rsidR="00E25064" w:rsidRPr="003C0EB9">
        <w:rPr>
          <w:rFonts w:eastAsia="SimSun" w:cs="Arial"/>
          <w:sz w:val="20"/>
          <w:szCs w:val="18"/>
          <w:lang w:eastAsia="zh-CN"/>
        </w:rPr>
        <w:t>email</w:t>
      </w:r>
    </w:p>
    <w:p w14:paraId="45AD1C5A" w14:textId="55D8615B" w:rsidR="00A774F4" w:rsidRPr="003C0EB9" w:rsidRDefault="00E25064" w:rsidP="00A774F4">
      <w:pPr>
        <w:ind w:firstLine="720"/>
        <w:rPr>
          <w:rFonts w:eastAsia="SimSun" w:cs="Arial"/>
          <w:sz w:val="20"/>
          <w:szCs w:val="18"/>
          <w:lang w:val="el-GR" w:eastAsia="zh-CN"/>
        </w:rPr>
      </w:pPr>
      <w:r>
        <w:rPr>
          <w:rFonts w:eastAsia="SimSun" w:cs="Arial"/>
          <w:sz w:val="20"/>
          <w:szCs w:val="18"/>
          <w:lang w:val="el-GR" w:eastAsia="zh-CN"/>
        </w:rPr>
        <w:t xml:space="preserve">Αν. </w:t>
      </w:r>
      <w:r w:rsidR="00A774F4" w:rsidRPr="003C0EB9">
        <w:rPr>
          <w:rFonts w:eastAsia="SimSun" w:cs="Arial"/>
          <w:sz w:val="20"/>
          <w:szCs w:val="18"/>
          <w:lang w:val="el-GR" w:eastAsia="zh-CN"/>
        </w:rPr>
        <w:t>Διευθ</w:t>
      </w:r>
      <w:r>
        <w:rPr>
          <w:rFonts w:eastAsia="SimSun" w:cs="Arial"/>
          <w:sz w:val="20"/>
          <w:szCs w:val="18"/>
          <w:lang w:val="el-GR" w:eastAsia="zh-CN"/>
        </w:rPr>
        <w:t>ύντρια</w:t>
      </w:r>
      <w:r w:rsidR="00A774F4" w:rsidRPr="003C0EB9">
        <w:rPr>
          <w:rFonts w:eastAsia="SimSun" w:cs="Arial"/>
          <w:sz w:val="20"/>
          <w:szCs w:val="18"/>
          <w:lang w:val="el-GR" w:eastAsia="zh-CN"/>
        </w:rPr>
        <w:t xml:space="preserve"> Φαρμακευτικών Υπηρεσιών</w:t>
      </w:r>
      <w:r w:rsidR="00A774F4" w:rsidRPr="003C0EB9">
        <w:rPr>
          <w:rFonts w:eastAsia="SimSun" w:cs="Arial"/>
          <w:sz w:val="20"/>
          <w:szCs w:val="18"/>
          <w:lang w:val="el-GR" w:eastAsia="zh-CN"/>
        </w:rPr>
        <w:tab/>
      </w:r>
      <w:r w:rsidR="00A774F4" w:rsidRPr="003C0EB9">
        <w:rPr>
          <w:rFonts w:eastAsia="SimSun" w:cs="Arial"/>
          <w:sz w:val="20"/>
          <w:szCs w:val="18"/>
          <w:lang w:eastAsia="zh-CN"/>
        </w:rPr>
        <w:t>email</w:t>
      </w:r>
    </w:p>
    <w:p w14:paraId="1D258FCD" w14:textId="77777777" w:rsidR="00A774F4" w:rsidRPr="003C0EB9" w:rsidRDefault="00A774F4" w:rsidP="00A774F4">
      <w:pPr>
        <w:ind w:firstLine="720"/>
        <w:rPr>
          <w:rFonts w:eastAsia="SimSun" w:cs="Arial"/>
          <w:sz w:val="20"/>
          <w:szCs w:val="18"/>
          <w:lang w:val="el-GR" w:eastAsia="zh-CN"/>
        </w:rPr>
      </w:pPr>
      <w:r w:rsidRPr="003C0EB9">
        <w:rPr>
          <w:rFonts w:eastAsia="SimSun" w:cs="Arial"/>
          <w:sz w:val="20"/>
          <w:szCs w:val="18"/>
          <w:lang w:val="el-GR" w:eastAsia="zh-CN"/>
        </w:rPr>
        <w:t>Διευθυντή Γενικού Χημείου</w:t>
      </w:r>
      <w:r w:rsidRPr="003C0EB9">
        <w:rPr>
          <w:rFonts w:eastAsia="SimSun" w:cs="Arial"/>
          <w:sz w:val="20"/>
          <w:szCs w:val="18"/>
          <w:lang w:val="el-GR" w:eastAsia="zh-CN"/>
        </w:rPr>
        <w:tab/>
      </w:r>
      <w:r w:rsidRPr="003C0EB9">
        <w:rPr>
          <w:rFonts w:eastAsia="SimSun" w:cs="Arial"/>
          <w:sz w:val="20"/>
          <w:szCs w:val="18"/>
          <w:lang w:val="el-GR" w:eastAsia="zh-CN"/>
        </w:rPr>
        <w:tab/>
      </w:r>
      <w:r w:rsidRPr="003C0EB9">
        <w:rPr>
          <w:rFonts w:eastAsia="SimSun" w:cs="Arial"/>
          <w:sz w:val="20"/>
          <w:szCs w:val="18"/>
          <w:lang w:val="el-GR" w:eastAsia="zh-CN"/>
        </w:rPr>
        <w:tab/>
      </w:r>
      <w:r w:rsidRPr="003C0EB9">
        <w:rPr>
          <w:rFonts w:eastAsia="SimSun" w:cs="Arial"/>
          <w:sz w:val="20"/>
          <w:szCs w:val="18"/>
          <w:lang w:val="el-GR" w:eastAsia="zh-CN"/>
        </w:rPr>
        <w:tab/>
      </w:r>
      <w:r w:rsidRPr="003C0EB9">
        <w:rPr>
          <w:rFonts w:eastAsia="SimSun" w:cs="Arial"/>
          <w:sz w:val="20"/>
          <w:szCs w:val="18"/>
          <w:lang w:eastAsia="zh-CN"/>
        </w:rPr>
        <w:t>email</w:t>
      </w:r>
    </w:p>
    <w:p w14:paraId="450A5C8D" w14:textId="6713A599" w:rsidR="00A774F4" w:rsidRPr="003C0EB9" w:rsidRDefault="00A774F4" w:rsidP="00A774F4">
      <w:pPr>
        <w:ind w:firstLine="720"/>
        <w:rPr>
          <w:rFonts w:eastAsia="SimSun" w:cs="Arial"/>
          <w:sz w:val="20"/>
          <w:szCs w:val="18"/>
          <w:lang w:val="el-GR" w:eastAsia="zh-CN"/>
        </w:rPr>
      </w:pPr>
      <w:r w:rsidRPr="003C0EB9">
        <w:rPr>
          <w:rFonts w:eastAsia="SimSun" w:cs="Arial"/>
          <w:sz w:val="20"/>
          <w:szCs w:val="18"/>
          <w:lang w:val="el-GR" w:eastAsia="zh-CN"/>
        </w:rPr>
        <w:t xml:space="preserve">κ. Ειρήνη Χρυσάφη </w:t>
      </w:r>
      <w:r w:rsidRPr="003C0EB9">
        <w:rPr>
          <w:rFonts w:eastAsia="SimSun" w:cs="Arial"/>
          <w:sz w:val="20"/>
          <w:szCs w:val="18"/>
          <w:lang w:val="el-GR" w:eastAsia="zh-CN"/>
        </w:rPr>
        <w:tab/>
      </w:r>
      <w:r w:rsidRPr="003C0EB9">
        <w:rPr>
          <w:rFonts w:eastAsia="SimSun" w:cs="Arial"/>
          <w:sz w:val="20"/>
          <w:szCs w:val="18"/>
          <w:lang w:val="el-GR" w:eastAsia="zh-CN"/>
        </w:rPr>
        <w:tab/>
      </w:r>
      <w:r w:rsidRPr="003C0EB9">
        <w:rPr>
          <w:rFonts w:eastAsia="SimSun" w:cs="Arial"/>
          <w:sz w:val="20"/>
          <w:szCs w:val="18"/>
          <w:lang w:val="el-GR" w:eastAsia="zh-CN"/>
        </w:rPr>
        <w:tab/>
      </w:r>
      <w:r w:rsidRPr="003C0EB9">
        <w:rPr>
          <w:rFonts w:eastAsia="SimSun" w:cs="Arial"/>
          <w:sz w:val="20"/>
          <w:szCs w:val="18"/>
          <w:lang w:val="el-GR" w:eastAsia="zh-CN"/>
        </w:rPr>
        <w:tab/>
      </w:r>
      <w:r w:rsidRPr="003C0EB9">
        <w:rPr>
          <w:rFonts w:eastAsia="SimSun" w:cs="Arial"/>
          <w:sz w:val="20"/>
          <w:szCs w:val="18"/>
          <w:lang w:val="el-GR" w:eastAsia="zh-CN"/>
        </w:rPr>
        <w:tab/>
      </w:r>
      <w:r w:rsidR="00E25064" w:rsidRPr="003C0EB9">
        <w:rPr>
          <w:rFonts w:eastAsia="SimSun" w:cs="Arial"/>
          <w:sz w:val="20"/>
          <w:szCs w:val="18"/>
          <w:lang w:eastAsia="zh-CN"/>
        </w:rPr>
        <w:t>email</w:t>
      </w:r>
    </w:p>
    <w:p w14:paraId="398D6617" w14:textId="5187B189" w:rsidR="00A774F4" w:rsidRPr="003C0EB9" w:rsidRDefault="00A774F4" w:rsidP="00A774F4">
      <w:pPr>
        <w:ind w:firstLine="720"/>
        <w:rPr>
          <w:rFonts w:eastAsia="SimSun" w:cs="Arial"/>
          <w:sz w:val="20"/>
          <w:szCs w:val="18"/>
          <w:lang w:val="el-GR" w:eastAsia="zh-CN"/>
        </w:rPr>
      </w:pPr>
      <w:r w:rsidRPr="003C0EB9">
        <w:rPr>
          <w:rFonts w:eastAsia="SimSun" w:cs="Arial"/>
          <w:sz w:val="20"/>
          <w:szCs w:val="18"/>
          <w:lang w:val="el-GR" w:eastAsia="zh-CN"/>
        </w:rPr>
        <w:t xml:space="preserve">κ. Αιμιλία Μαυροκορδάτου </w:t>
      </w:r>
      <w:r w:rsidRPr="003C0EB9">
        <w:rPr>
          <w:rFonts w:eastAsia="SimSun" w:cs="Arial"/>
          <w:sz w:val="20"/>
          <w:szCs w:val="18"/>
          <w:lang w:val="el-GR" w:eastAsia="zh-CN"/>
        </w:rPr>
        <w:tab/>
      </w:r>
      <w:r w:rsidRPr="003C0EB9">
        <w:rPr>
          <w:rFonts w:eastAsia="SimSun" w:cs="Arial"/>
          <w:sz w:val="20"/>
          <w:szCs w:val="18"/>
          <w:lang w:val="el-GR" w:eastAsia="zh-CN"/>
        </w:rPr>
        <w:tab/>
      </w:r>
      <w:r w:rsidRPr="003C0EB9">
        <w:rPr>
          <w:rFonts w:eastAsia="SimSun" w:cs="Arial"/>
          <w:sz w:val="20"/>
          <w:szCs w:val="18"/>
          <w:lang w:val="el-GR" w:eastAsia="zh-CN"/>
        </w:rPr>
        <w:tab/>
      </w:r>
      <w:r w:rsidRPr="003C0EB9">
        <w:rPr>
          <w:rFonts w:eastAsia="SimSun" w:cs="Arial"/>
          <w:sz w:val="20"/>
          <w:szCs w:val="18"/>
          <w:lang w:val="el-GR" w:eastAsia="zh-CN"/>
        </w:rPr>
        <w:tab/>
      </w:r>
      <w:r w:rsidR="00E25064" w:rsidRPr="003C0EB9">
        <w:rPr>
          <w:rFonts w:eastAsia="SimSun" w:cs="Arial"/>
          <w:sz w:val="20"/>
          <w:szCs w:val="18"/>
          <w:lang w:eastAsia="zh-CN"/>
        </w:rPr>
        <w:t>email</w:t>
      </w:r>
    </w:p>
    <w:p w14:paraId="0092442B" w14:textId="77777777" w:rsidR="00A774F4" w:rsidRPr="003C0EB9" w:rsidRDefault="00A774F4" w:rsidP="00A774F4">
      <w:pPr>
        <w:ind w:firstLine="720"/>
        <w:rPr>
          <w:rFonts w:eastAsia="SimSun" w:cs="Arial"/>
          <w:sz w:val="20"/>
          <w:szCs w:val="18"/>
          <w:lang w:val="el-GR" w:eastAsia="zh-CN"/>
        </w:rPr>
      </w:pPr>
      <w:r w:rsidRPr="003C0EB9">
        <w:rPr>
          <w:rFonts w:eastAsia="SimSun" w:cs="Arial"/>
          <w:sz w:val="20"/>
          <w:szCs w:val="18"/>
          <w:lang w:val="el-GR" w:eastAsia="zh-CN"/>
        </w:rPr>
        <w:t xml:space="preserve">Δρ Μάρω Κληρίδου </w:t>
      </w:r>
      <w:r w:rsidRPr="003C0EB9">
        <w:rPr>
          <w:rFonts w:eastAsia="SimSun" w:cs="Arial"/>
          <w:sz w:val="20"/>
          <w:szCs w:val="18"/>
          <w:lang w:val="el-GR" w:eastAsia="zh-CN"/>
        </w:rPr>
        <w:tab/>
      </w:r>
      <w:r w:rsidRPr="003C0EB9">
        <w:rPr>
          <w:rFonts w:eastAsia="SimSun" w:cs="Arial"/>
          <w:sz w:val="20"/>
          <w:szCs w:val="18"/>
          <w:lang w:val="el-GR" w:eastAsia="zh-CN"/>
        </w:rPr>
        <w:tab/>
      </w:r>
      <w:r w:rsidRPr="003C0EB9">
        <w:rPr>
          <w:rFonts w:eastAsia="SimSun" w:cs="Arial"/>
          <w:sz w:val="20"/>
          <w:szCs w:val="18"/>
          <w:lang w:val="el-GR" w:eastAsia="zh-CN"/>
        </w:rPr>
        <w:tab/>
      </w:r>
      <w:r w:rsidRPr="003C0EB9">
        <w:rPr>
          <w:rFonts w:eastAsia="SimSun" w:cs="Arial"/>
          <w:sz w:val="20"/>
          <w:szCs w:val="18"/>
          <w:lang w:val="el-GR" w:eastAsia="zh-CN"/>
        </w:rPr>
        <w:tab/>
      </w:r>
      <w:r w:rsidRPr="003C0EB9">
        <w:rPr>
          <w:rFonts w:eastAsia="SimSun" w:cs="Arial"/>
          <w:sz w:val="20"/>
          <w:szCs w:val="18"/>
          <w:lang w:val="el-GR" w:eastAsia="zh-CN"/>
        </w:rPr>
        <w:tab/>
      </w:r>
      <w:r w:rsidRPr="003C0EB9">
        <w:rPr>
          <w:rFonts w:eastAsia="SimSun" w:cs="Arial"/>
          <w:sz w:val="20"/>
          <w:szCs w:val="18"/>
          <w:lang w:val="en-US" w:eastAsia="zh-CN"/>
        </w:rPr>
        <w:t>email</w:t>
      </w:r>
    </w:p>
    <w:p w14:paraId="064DE7DD" w14:textId="77777777" w:rsidR="00A774F4" w:rsidRPr="003C0EB9" w:rsidRDefault="00A774F4" w:rsidP="00A774F4">
      <w:pPr>
        <w:ind w:firstLine="720"/>
        <w:rPr>
          <w:rFonts w:eastAsia="SimSun" w:cs="Arial"/>
          <w:sz w:val="20"/>
          <w:szCs w:val="18"/>
          <w:lang w:val="el-GR" w:eastAsia="zh-CN"/>
        </w:rPr>
      </w:pPr>
      <w:r w:rsidRPr="003C0EB9">
        <w:rPr>
          <w:rFonts w:eastAsia="SimSun" w:cs="Arial"/>
          <w:sz w:val="20"/>
          <w:szCs w:val="18"/>
          <w:lang w:val="el-GR" w:eastAsia="zh-CN"/>
        </w:rPr>
        <w:t>Δρ Πέτρο Αγαθαγγέλου</w:t>
      </w:r>
      <w:r w:rsidRPr="003C0EB9">
        <w:rPr>
          <w:rFonts w:eastAsia="SimSun" w:cs="Arial"/>
          <w:sz w:val="20"/>
          <w:szCs w:val="18"/>
          <w:lang w:val="el-GR" w:eastAsia="zh-CN"/>
        </w:rPr>
        <w:tab/>
      </w:r>
      <w:r w:rsidRPr="003C0EB9">
        <w:rPr>
          <w:rFonts w:eastAsia="SimSun" w:cs="Arial"/>
          <w:sz w:val="20"/>
          <w:szCs w:val="18"/>
          <w:lang w:val="el-GR" w:eastAsia="zh-CN"/>
        </w:rPr>
        <w:tab/>
      </w:r>
      <w:r w:rsidRPr="003C0EB9">
        <w:rPr>
          <w:rFonts w:eastAsia="SimSun" w:cs="Arial"/>
          <w:sz w:val="20"/>
          <w:szCs w:val="18"/>
          <w:lang w:val="el-GR" w:eastAsia="zh-CN"/>
        </w:rPr>
        <w:tab/>
      </w:r>
      <w:r w:rsidRPr="003C0EB9">
        <w:rPr>
          <w:rFonts w:eastAsia="SimSun" w:cs="Arial"/>
          <w:sz w:val="20"/>
          <w:szCs w:val="18"/>
          <w:lang w:val="el-GR" w:eastAsia="zh-CN"/>
        </w:rPr>
        <w:tab/>
      </w:r>
      <w:r w:rsidRPr="003C0EB9">
        <w:rPr>
          <w:rFonts w:eastAsia="SimSun" w:cs="Arial"/>
          <w:sz w:val="20"/>
          <w:szCs w:val="18"/>
          <w:lang w:val="en-US" w:eastAsia="zh-CN"/>
        </w:rPr>
        <w:t>email</w:t>
      </w:r>
    </w:p>
    <w:p w14:paraId="75C4AC46" w14:textId="77777777" w:rsidR="00A774F4" w:rsidRPr="003C0EB9" w:rsidRDefault="00A774F4" w:rsidP="00A774F4">
      <w:pPr>
        <w:ind w:firstLine="720"/>
        <w:rPr>
          <w:rFonts w:eastAsia="SimSun" w:cs="Arial"/>
          <w:sz w:val="20"/>
          <w:szCs w:val="18"/>
          <w:lang w:val="el-GR" w:eastAsia="zh-CN"/>
        </w:rPr>
      </w:pPr>
      <w:r w:rsidRPr="003C0EB9">
        <w:rPr>
          <w:rFonts w:eastAsia="SimSun" w:cs="Arial"/>
          <w:sz w:val="20"/>
          <w:szCs w:val="18"/>
          <w:lang w:val="el-GR" w:eastAsia="zh-CN"/>
        </w:rPr>
        <w:t>Δρ. Φίλιππο Στυλιανού</w:t>
      </w:r>
      <w:r w:rsidRPr="003C0EB9">
        <w:rPr>
          <w:rFonts w:eastAsia="SimSun" w:cs="Arial"/>
          <w:sz w:val="20"/>
          <w:szCs w:val="18"/>
          <w:lang w:val="el-GR" w:eastAsia="zh-CN"/>
        </w:rPr>
        <w:tab/>
      </w:r>
      <w:r w:rsidRPr="003C0EB9">
        <w:rPr>
          <w:rFonts w:eastAsia="SimSun" w:cs="Arial"/>
          <w:sz w:val="20"/>
          <w:szCs w:val="18"/>
          <w:lang w:val="el-GR" w:eastAsia="zh-CN"/>
        </w:rPr>
        <w:tab/>
      </w:r>
      <w:r w:rsidRPr="003C0EB9">
        <w:rPr>
          <w:rFonts w:eastAsia="SimSun" w:cs="Arial"/>
          <w:sz w:val="20"/>
          <w:szCs w:val="18"/>
          <w:lang w:val="el-GR" w:eastAsia="zh-CN"/>
        </w:rPr>
        <w:tab/>
      </w:r>
      <w:r w:rsidRPr="003C0EB9">
        <w:rPr>
          <w:rFonts w:eastAsia="SimSun" w:cs="Arial"/>
          <w:sz w:val="20"/>
          <w:szCs w:val="18"/>
          <w:lang w:val="el-GR" w:eastAsia="zh-CN"/>
        </w:rPr>
        <w:tab/>
      </w:r>
      <w:r w:rsidRPr="003C0EB9">
        <w:rPr>
          <w:rFonts w:eastAsia="SimSun" w:cs="Arial"/>
          <w:sz w:val="20"/>
          <w:szCs w:val="18"/>
          <w:lang w:eastAsia="zh-CN"/>
        </w:rPr>
        <w:t>email</w:t>
      </w:r>
    </w:p>
    <w:p w14:paraId="1511FE77" w14:textId="77777777" w:rsidR="00A774F4" w:rsidRPr="003C0EB9" w:rsidRDefault="00A774F4" w:rsidP="00A774F4">
      <w:pPr>
        <w:ind w:firstLine="720"/>
        <w:rPr>
          <w:rFonts w:eastAsia="SimSun" w:cs="Arial"/>
          <w:sz w:val="20"/>
          <w:szCs w:val="18"/>
          <w:lang w:val="el-GR" w:eastAsia="zh-CN"/>
        </w:rPr>
      </w:pPr>
      <w:r w:rsidRPr="003C0EB9">
        <w:rPr>
          <w:rFonts w:eastAsia="SimSun" w:cs="Arial"/>
          <w:sz w:val="20"/>
          <w:szCs w:val="18"/>
          <w:lang w:val="el-GR" w:eastAsia="zh-CN"/>
        </w:rPr>
        <w:t>κ. Πλούταρχο Γεωργιάδη</w:t>
      </w:r>
      <w:r w:rsidRPr="003C0EB9">
        <w:rPr>
          <w:rFonts w:eastAsia="SimSun" w:cs="Arial"/>
          <w:sz w:val="20"/>
          <w:szCs w:val="18"/>
          <w:lang w:val="el-GR" w:eastAsia="zh-CN"/>
        </w:rPr>
        <w:tab/>
      </w:r>
      <w:r w:rsidRPr="003C0EB9">
        <w:rPr>
          <w:rFonts w:eastAsia="SimSun" w:cs="Arial"/>
          <w:sz w:val="20"/>
          <w:szCs w:val="18"/>
          <w:lang w:val="el-GR" w:eastAsia="zh-CN"/>
        </w:rPr>
        <w:tab/>
      </w:r>
      <w:r w:rsidRPr="003C0EB9">
        <w:rPr>
          <w:rFonts w:eastAsia="SimSun" w:cs="Arial"/>
          <w:sz w:val="20"/>
          <w:szCs w:val="18"/>
          <w:lang w:val="el-GR" w:eastAsia="zh-CN"/>
        </w:rPr>
        <w:tab/>
      </w:r>
      <w:r w:rsidRPr="003C0EB9">
        <w:rPr>
          <w:rFonts w:eastAsia="SimSun" w:cs="Arial"/>
          <w:sz w:val="20"/>
          <w:szCs w:val="18"/>
          <w:lang w:val="el-GR" w:eastAsia="zh-CN"/>
        </w:rPr>
        <w:tab/>
      </w:r>
      <w:r w:rsidRPr="003C0EB9">
        <w:rPr>
          <w:rFonts w:eastAsia="SimSun" w:cs="Arial"/>
          <w:sz w:val="20"/>
          <w:szCs w:val="18"/>
          <w:lang w:eastAsia="zh-CN"/>
        </w:rPr>
        <w:t>email</w:t>
      </w:r>
    </w:p>
    <w:p w14:paraId="6E5BC736" w14:textId="77777777" w:rsidR="00A774F4" w:rsidRPr="003C0EB9" w:rsidRDefault="00A774F4" w:rsidP="00A774F4">
      <w:pPr>
        <w:ind w:firstLine="720"/>
        <w:rPr>
          <w:rFonts w:eastAsia="SimSun" w:cs="Arial"/>
          <w:sz w:val="20"/>
          <w:szCs w:val="18"/>
          <w:lang w:val="el-GR" w:eastAsia="zh-CN"/>
        </w:rPr>
      </w:pPr>
      <w:r w:rsidRPr="003C0EB9">
        <w:rPr>
          <w:rFonts w:eastAsia="SimSun" w:cs="Arial"/>
          <w:sz w:val="20"/>
          <w:szCs w:val="18"/>
          <w:lang w:val="el-GR" w:eastAsia="zh-CN"/>
        </w:rPr>
        <w:t>κ. Κώστα Ευαγγέλου</w:t>
      </w:r>
      <w:r w:rsidRPr="003C0EB9">
        <w:rPr>
          <w:rFonts w:eastAsia="SimSun" w:cs="Arial"/>
          <w:sz w:val="20"/>
          <w:szCs w:val="18"/>
          <w:lang w:val="el-GR" w:eastAsia="zh-CN"/>
        </w:rPr>
        <w:tab/>
      </w:r>
      <w:r w:rsidRPr="003C0EB9">
        <w:rPr>
          <w:rFonts w:eastAsia="SimSun" w:cs="Arial"/>
          <w:sz w:val="20"/>
          <w:szCs w:val="18"/>
          <w:lang w:val="el-GR" w:eastAsia="zh-CN"/>
        </w:rPr>
        <w:tab/>
      </w:r>
      <w:r w:rsidRPr="003C0EB9">
        <w:rPr>
          <w:rFonts w:eastAsia="SimSun" w:cs="Arial"/>
          <w:sz w:val="20"/>
          <w:szCs w:val="18"/>
          <w:lang w:val="el-GR" w:eastAsia="zh-CN"/>
        </w:rPr>
        <w:tab/>
      </w:r>
      <w:r w:rsidRPr="003C0EB9">
        <w:rPr>
          <w:rFonts w:eastAsia="SimSun" w:cs="Arial"/>
          <w:sz w:val="20"/>
          <w:szCs w:val="18"/>
          <w:lang w:val="el-GR" w:eastAsia="zh-CN"/>
        </w:rPr>
        <w:tab/>
      </w:r>
      <w:r w:rsidRPr="003C0EB9">
        <w:rPr>
          <w:rFonts w:eastAsia="SimSun" w:cs="Arial"/>
          <w:sz w:val="20"/>
          <w:szCs w:val="18"/>
          <w:lang w:val="el-GR" w:eastAsia="zh-CN"/>
        </w:rPr>
        <w:tab/>
      </w:r>
      <w:r w:rsidRPr="003C0EB9">
        <w:rPr>
          <w:rFonts w:eastAsia="SimSun" w:cs="Arial"/>
          <w:sz w:val="20"/>
          <w:szCs w:val="18"/>
          <w:lang w:eastAsia="zh-CN"/>
        </w:rPr>
        <w:t>email</w:t>
      </w:r>
      <w:r w:rsidRPr="003C0EB9">
        <w:rPr>
          <w:rFonts w:eastAsia="SimSun" w:cs="Arial"/>
          <w:sz w:val="20"/>
          <w:szCs w:val="18"/>
          <w:lang w:val="el-GR" w:eastAsia="zh-CN"/>
        </w:rPr>
        <w:t xml:space="preserve"> </w:t>
      </w:r>
    </w:p>
    <w:p w14:paraId="51F6545C" w14:textId="2A1DF124" w:rsidR="00A774F4" w:rsidRPr="00C9486E" w:rsidRDefault="00A774F4" w:rsidP="00A774F4">
      <w:pPr>
        <w:ind w:firstLine="720"/>
        <w:rPr>
          <w:rFonts w:eastAsia="SimSun" w:cs="Arial"/>
          <w:sz w:val="20"/>
          <w:szCs w:val="18"/>
          <w:lang w:val="el-GR" w:eastAsia="zh-CN"/>
        </w:rPr>
      </w:pPr>
      <w:r w:rsidRPr="003C0EB9">
        <w:rPr>
          <w:rFonts w:eastAsia="SimSun" w:cs="Arial"/>
          <w:sz w:val="20"/>
          <w:szCs w:val="18"/>
          <w:lang w:val="el-GR" w:eastAsia="zh-CN"/>
        </w:rPr>
        <w:t>Διευθύντρια Ιατρικών Υπηρεσιών &amp; ΥΔΥ</w:t>
      </w:r>
      <w:r w:rsidRPr="003C0EB9">
        <w:rPr>
          <w:rFonts w:eastAsia="SimSun" w:cs="Arial"/>
          <w:sz w:val="20"/>
          <w:szCs w:val="18"/>
          <w:lang w:val="el-GR" w:eastAsia="zh-CN"/>
        </w:rPr>
        <w:tab/>
      </w:r>
      <w:r w:rsidRPr="003C0EB9">
        <w:rPr>
          <w:rFonts w:eastAsia="SimSun" w:cs="Arial"/>
          <w:sz w:val="20"/>
          <w:szCs w:val="18"/>
          <w:lang w:val="el-GR" w:eastAsia="zh-CN"/>
        </w:rPr>
        <w:tab/>
      </w:r>
      <w:r w:rsidR="00E25064" w:rsidRPr="003C0EB9">
        <w:rPr>
          <w:rFonts w:eastAsia="SimSun" w:cs="Arial"/>
          <w:sz w:val="20"/>
          <w:szCs w:val="18"/>
          <w:lang w:eastAsia="zh-CN"/>
        </w:rPr>
        <w:t>email</w:t>
      </w:r>
    </w:p>
    <w:p w14:paraId="720F1D11" w14:textId="1D6336DD" w:rsidR="00A774F4" w:rsidRPr="003C0EB9" w:rsidRDefault="00A774F4" w:rsidP="00A774F4">
      <w:pPr>
        <w:ind w:firstLine="720"/>
        <w:rPr>
          <w:rFonts w:eastAsia="SimSun" w:cs="Arial"/>
          <w:sz w:val="20"/>
          <w:szCs w:val="18"/>
          <w:lang w:val="el-GR" w:eastAsia="zh-CN"/>
        </w:rPr>
      </w:pPr>
      <w:r w:rsidRPr="003C0EB9">
        <w:rPr>
          <w:rFonts w:eastAsia="SimSun" w:cs="Arial"/>
          <w:sz w:val="20"/>
          <w:szCs w:val="18"/>
          <w:lang w:val="el-GR" w:eastAsia="zh-CN"/>
        </w:rPr>
        <w:t>Πρόεδρο Παγκύπριου Ιατρικού Συλλόγου</w:t>
      </w:r>
      <w:r w:rsidRPr="003C0EB9">
        <w:rPr>
          <w:rFonts w:eastAsia="SimSun" w:cs="Arial"/>
          <w:sz w:val="20"/>
          <w:szCs w:val="18"/>
          <w:lang w:val="el-GR" w:eastAsia="zh-CN"/>
        </w:rPr>
        <w:tab/>
      </w:r>
      <w:r w:rsidRPr="003C0EB9">
        <w:rPr>
          <w:rFonts w:eastAsia="SimSun" w:cs="Arial"/>
          <w:sz w:val="20"/>
          <w:szCs w:val="18"/>
          <w:lang w:val="el-GR" w:eastAsia="zh-CN"/>
        </w:rPr>
        <w:tab/>
      </w:r>
      <w:r w:rsidR="00E25064" w:rsidRPr="003C0EB9">
        <w:rPr>
          <w:rFonts w:eastAsia="SimSun" w:cs="Arial"/>
          <w:sz w:val="20"/>
          <w:szCs w:val="18"/>
          <w:lang w:eastAsia="zh-CN"/>
        </w:rPr>
        <w:t>email</w:t>
      </w:r>
    </w:p>
    <w:p w14:paraId="48DB189A" w14:textId="77777777" w:rsidR="00A774F4" w:rsidRPr="003C0EB9" w:rsidRDefault="00A774F4" w:rsidP="00A774F4">
      <w:pPr>
        <w:ind w:firstLine="720"/>
        <w:rPr>
          <w:rFonts w:eastAsia="SimSun" w:cs="Arial"/>
          <w:sz w:val="20"/>
          <w:szCs w:val="18"/>
          <w:lang w:val="el-GR" w:eastAsia="zh-CN"/>
        </w:rPr>
      </w:pPr>
      <w:r w:rsidRPr="003C0EB9">
        <w:rPr>
          <w:rFonts w:eastAsia="SimSun" w:cs="Arial"/>
          <w:sz w:val="20"/>
          <w:szCs w:val="18"/>
          <w:lang w:val="el-GR" w:eastAsia="zh-CN"/>
        </w:rPr>
        <w:t>Πρόεδρο Παγκύπριου Φαρμακευτικού Συλλόγου</w:t>
      </w:r>
      <w:r w:rsidRPr="003C0EB9">
        <w:rPr>
          <w:rFonts w:eastAsia="SimSun" w:cs="Arial"/>
          <w:sz w:val="20"/>
          <w:szCs w:val="18"/>
          <w:lang w:val="el-GR" w:eastAsia="zh-CN"/>
        </w:rPr>
        <w:tab/>
      </w:r>
      <w:r w:rsidRPr="003C0EB9">
        <w:rPr>
          <w:rFonts w:eastAsia="SimSun" w:cs="Arial"/>
          <w:sz w:val="20"/>
          <w:szCs w:val="18"/>
          <w:lang w:eastAsia="zh-CN"/>
        </w:rPr>
        <w:t>email</w:t>
      </w:r>
    </w:p>
    <w:p w14:paraId="26D97C13" w14:textId="77777777" w:rsidR="00A774F4" w:rsidRPr="003C0EB9" w:rsidRDefault="00A774F4" w:rsidP="00A774F4">
      <w:pPr>
        <w:jc w:val="center"/>
        <w:rPr>
          <w:rFonts w:eastAsia="SimSun" w:cs="Arial"/>
          <w:b/>
          <w:sz w:val="20"/>
          <w:szCs w:val="18"/>
          <w:lang w:val="el-GR" w:eastAsia="zh-CN"/>
        </w:rPr>
      </w:pPr>
    </w:p>
    <w:p w14:paraId="0079BB00" w14:textId="77777777" w:rsidR="00A774F4" w:rsidRPr="003C0EB9" w:rsidRDefault="00A774F4" w:rsidP="00A774F4">
      <w:pPr>
        <w:jc w:val="center"/>
        <w:rPr>
          <w:rFonts w:eastAsia="SimSun" w:cs="Arial"/>
          <w:b/>
          <w:sz w:val="20"/>
          <w:szCs w:val="18"/>
          <w:lang w:val="el-GR" w:eastAsia="zh-CN"/>
        </w:rPr>
      </w:pPr>
    </w:p>
    <w:p w14:paraId="59079729" w14:textId="77777777" w:rsidR="00A774F4" w:rsidRPr="003C0EB9" w:rsidRDefault="00A774F4" w:rsidP="00A774F4">
      <w:pPr>
        <w:jc w:val="center"/>
        <w:rPr>
          <w:rFonts w:eastAsia="SimSun" w:cs="Arial"/>
          <w:b/>
          <w:sz w:val="20"/>
          <w:szCs w:val="18"/>
          <w:u w:val="single"/>
          <w:lang w:val="el-GR" w:eastAsia="zh-CN"/>
        </w:rPr>
      </w:pPr>
      <w:r w:rsidRPr="003C0EB9">
        <w:rPr>
          <w:rFonts w:eastAsia="SimSun" w:cs="Arial"/>
          <w:b/>
          <w:sz w:val="20"/>
          <w:szCs w:val="18"/>
          <w:lang w:val="el-GR" w:eastAsia="zh-CN"/>
        </w:rPr>
        <w:t xml:space="preserve">ΘΕΜΑ: </w:t>
      </w:r>
      <w:r w:rsidRPr="003C0EB9">
        <w:rPr>
          <w:rFonts w:eastAsia="SimSun" w:cs="Arial"/>
          <w:b/>
          <w:sz w:val="20"/>
          <w:szCs w:val="18"/>
          <w:u w:val="single"/>
          <w:lang w:val="el-GR" w:eastAsia="zh-CN"/>
        </w:rPr>
        <w:t>Δελτίο Τύπου: Ανακοίνωση του Ευρωπαϊκού Οργανισμού Φαρμάκων</w:t>
      </w:r>
    </w:p>
    <w:p w14:paraId="133EE786" w14:textId="77777777" w:rsidR="00A774F4" w:rsidRPr="003C0EB9" w:rsidRDefault="00A774F4" w:rsidP="00A774F4">
      <w:pPr>
        <w:jc w:val="center"/>
        <w:rPr>
          <w:rFonts w:eastAsia="SimSun" w:cs="Arial"/>
          <w:b/>
          <w:sz w:val="20"/>
          <w:szCs w:val="18"/>
          <w:u w:val="single"/>
          <w:lang w:val="el-GR" w:eastAsia="zh-CN"/>
        </w:rPr>
      </w:pPr>
    </w:p>
    <w:p w14:paraId="6F44C6A2" w14:textId="77777777" w:rsidR="00A774F4" w:rsidRPr="003C0EB9" w:rsidRDefault="00A774F4" w:rsidP="00A774F4">
      <w:pPr>
        <w:jc w:val="both"/>
        <w:rPr>
          <w:rFonts w:eastAsia="SimSun" w:cs="Arial"/>
          <w:sz w:val="20"/>
          <w:szCs w:val="18"/>
          <w:lang w:val="el-GR" w:eastAsia="zh-CN"/>
        </w:rPr>
      </w:pPr>
    </w:p>
    <w:p w14:paraId="3C853594" w14:textId="77777777" w:rsidR="00A774F4" w:rsidRPr="003C0EB9" w:rsidRDefault="00A774F4" w:rsidP="00A774F4">
      <w:pPr>
        <w:jc w:val="both"/>
        <w:rPr>
          <w:rFonts w:eastAsia="SimSun" w:cs="Arial"/>
          <w:sz w:val="20"/>
          <w:szCs w:val="18"/>
          <w:lang w:val="el-GR" w:eastAsia="zh-CN"/>
        </w:rPr>
      </w:pPr>
      <w:r w:rsidRPr="003C0EB9">
        <w:rPr>
          <w:rFonts w:eastAsia="SimSun" w:cs="Arial"/>
          <w:sz w:val="20"/>
          <w:szCs w:val="18"/>
          <w:lang w:val="el-GR" w:eastAsia="zh-CN"/>
        </w:rPr>
        <w:t>Επισυνάπτεται ανακοίνωση των Φαρμακευτικών Υπηρεσιών σχετική με το πιο πάνω θέμα και παρακαλώ όπως δώσετε οδηγίες για διανομή της στα μέσα μαζικής ενημέρωσης.</w:t>
      </w:r>
    </w:p>
    <w:p w14:paraId="5D654B00" w14:textId="77777777" w:rsidR="00A774F4" w:rsidRPr="003C0EB9" w:rsidRDefault="00A774F4" w:rsidP="00A774F4">
      <w:pPr>
        <w:jc w:val="both"/>
        <w:rPr>
          <w:rFonts w:eastAsia="SimSun" w:cs="Arial"/>
          <w:sz w:val="20"/>
          <w:szCs w:val="18"/>
          <w:u w:val="single"/>
          <w:lang w:val="el-GR" w:eastAsia="zh-CN"/>
        </w:rPr>
      </w:pPr>
    </w:p>
    <w:p w14:paraId="11FB2FD8" w14:textId="77777777" w:rsidR="00A774F4" w:rsidRPr="003C0EB9" w:rsidRDefault="00A774F4" w:rsidP="00A774F4">
      <w:pPr>
        <w:rPr>
          <w:rFonts w:eastAsia="SimSun" w:cs="Arial"/>
          <w:sz w:val="20"/>
          <w:szCs w:val="18"/>
          <w:lang w:val="el-GR" w:eastAsia="zh-CN"/>
        </w:rPr>
      </w:pPr>
    </w:p>
    <w:p w14:paraId="6C673A12" w14:textId="77777777" w:rsidR="00A774F4" w:rsidRPr="003C0EB9" w:rsidRDefault="00A774F4" w:rsidP="00A774F4">
      <w:pPr>
        <w:rPr>
          <w:rFonts w:eastAsia="SimSun" w:cs="Arial"/>
          <w:sz w:val="20"/>
          <w:szCs w:val="18"/>
          <w:lang w:val="el-GR" w:eastAsia="zh-CN"/>
        </w:rPr>
      </w:pPr>
    </w:p>
    <w:p w14:paraId="4F2BC51E" w14:textId="77777777" w:rsidR="00A774F4" w:rsidRPr="003C0EB9" w:rsidRDefault="00A774F4" w:rsidP="00A774F4">
      <w:pPr>
        <w:rPr>
          <w:rFonts w:eastAsia="SimSun" w:cs="Arial"/>
          <w:sz w:val="20"/>
          <w:szCs w:val="18"/>
          <w:lang w:val="el-GR" w:eastAsia="zh-CN"/>
        </w:rPr>
      </w:pPr>
    </w:p>
    <w:p w14:paraId="41BFA294" w14:textId="5C7AEC68" w:rsidR="00E25064" w:rsidRDefault="00BA343B" w:rsidP="00A774F4">
      <w:pPr>
        <w:rPr>
          <w:rFonts w:eastAsia="SimSun" w:cs="Arial"/>
          <w:sz w:val="20"/>
          <w:szCs w:val="18"/>
          <w:lang w:val="el-GR" w:eastAsia="zh-CN"/>
        </w:rPr>
      </w:pPr>
      <w:r>
        <w:rPr>
          <w:rFonts w:eastAsia="SimSun" w:cs="Arial"/>
          <w:sz w:val="20"/>
          <w:szCs w:val="18"/>
          <w:lang w:val="el-GR" w:eastAsia="zh-CN"/>
        </w:rPr>
        <w:t>Παναγιώτης Ψαράς</w:t>
      </w:r>
      <w:r w:rsidR="00C9486E">
        <w:rPr>
          <w:rFonts w:eastAsia="SimSun" w:cs="Arial"/>
          <w:sz w:val="20"/>
          <w:szCs w:val="18"/>
          <w:lang w:val="el-GR" w:eastAsia="zh-CN"/>
        </w:rPr>
        <w:t xml:space="preserve">, </w:t>
      </w:r>
    </w:p>
    <w:p w14:paraId="5D35DE0C" w14:textId="2A9FB6D5" w:rsidR="00A774F4" w:rsidRPr="003C0EB9" w:rsidRDefault="003C0EB9" w:rsidP="00A774F4">
      <w:pPr>
        <w:rPr>
          <w:rFonts w:eastAsia="SimSun" w:cs="Arial"/>
          <w:sz w:val="20"/>
          <w:szCs w:val="18"/>
          <w:lang w:val="el-GR" w:eastAsia="zh-CN"/>
        </w:rPr>
      </w:pPr>
      <w:r>
        <w:rPr>
          <w:rFonts w:eastAsia="SimSun" w:cs="Arial"/>
          <w:sz w:val="20"/>
          <w:szCs w:val="18"/>
          <w:lang w:val="el-GR" w:eastAsia="zh-CN"/>
        </w:rPr>
        <w:t>Τομέα</w:t>
      </w:r>
      <w:r w:rsidR="00E25064">
        <w:rPr>
          <w:rFonts w:eastAsia="SimSun" w:cs="Arial"/>
          <w:sz w:val="20"/>
          <w:szCs w:val="18"/>
          <w:lang w:val="el-GR" w:eastAsia="zh-CN"/>
        </w:rPr>
        <w:t>ς</w:t>
      </w:r>
      <w:r>
        <w:rPr>
          <w:rFonts w:eastAsia="SimSun" w:cs="Arial"/>
          <w:sz w:val="20"/>
          <w:szCs w:val="18"/>
          <w:lang w:val="el-GR" w:eastAsia="zh-CN"/>
        </w:rPr>
        <w:t xml:space="preserve"> </w:t>
      </w:r>
      <w:r w:rsidR="009F7D89">
        <w:rPr>
          <w:rFonts w:eastAsia="SimSun" w:cs="Arial"/>
          <w:sz w:val="20"/>
          <w:szCs w:val="18"/>
          <w:lang w:val="el-GR" w:eastAsia="zh-CN"/>
        </w:rPr>
        <w:t xml:space="preserve">Φαρμακοεπαγρύπνησης και Κλινικών </w:t>
      </w:r>
      <w:r w:rsidR="00E25064">
        <w:rPr>
          <w:rFonts w:eastAsia="SimSun" w:cs="Arial"/>
          <w:sz w:val="20"/>
          <w:szCs w:val="18"/>
          <w:lang w:val="el-GR" w:eastAsia="zh-CN"/>
        </w:rPr>
        <w:t>Δοκιμών</w:t>
      </w:r>
    </w:p>
    <w:p w14:paraId="76945D81" w14:textId="77777777" w:rsidR="00A774F4" w:rsidRPr="003C0EB9" w:rsidRDefault="00A774F4" w:rsidP="00A774F4">
      <w:pPr>
        <w:outlineLvl w:val="0"/>
        <w:rPr>
          <w:rFonts w:eastAsia="SimSun" w:cs="Arial"/>
          <w:sz w:val="20"/>
          <w:szCs w:val="18"/>
          <w:lang w:val="el-GR" w:eastAsia="zh-CN"/>
        </w:rPr>
      </w:pPr>
    </w:p>
    <w:p w14:paraId="34D41453" w14:textId="77777777" w:rsidR="00A774F4" w:rsidRPr="003C0EB9" w:rsidRDefault="00A774F4" w:rsidP="00DD6B6A">
      <w:pPr>
        <w:outlineLvl w:val="0"/>
        <w:rPr>
          <w:rFonts w:eastAsia="SimSun" w:cs="Arial"/>
          <w:sz w:val="20"/>
          <w:szCs w:val="18"/>
          <w:lang w:val="el-GR" w:eastAsia="zh-CN"/>
        </w:rPr>
      </w:pPr>
      <w:r w:rsidRPr="003C0EB9">
        <w:rPr>
          <w:rFonts w:eastAsia="SimSun" w:cs="Arial"/>
          <w:sz w:val="20"/>
          <w:szCs w:val="18"/>
          <w:lang w:val="el-GR" w:eastAsia="zh-CN"/>
        </w:rPr>
        <w:t>Για Έφορο Συμβουλίου Φαρμάκων</w:t>
      </w:r>
    </w:p>
    <w:tbl>
      <w:tblPr>
        <w:tblW w:w="0" w:type="auto"/>
        <w:tblLook w:val="04A0" w:firstRow="1" w:lastRow="0" w:firstColumn="1" w:lastColumn="0" w:noHBand="0" w:noVBand="1"/>
      </w:tblPr>
      <w:tblGrid>
        <w:gridCol w:w="8804"/>
        <w:gridCol w:w="222"/>
      </w:tblGrid>
      <w:tr w:rsidR="00A774F4" w:rsidRPr="003C0EB9" w14:paraId="41286D07" w14:textId="77777777" w:rsidTr="00F90830">
        <w:trPr>
          <w:trHeight w:val="1501"/>
        </w:trPr>
        <w:tc>
          <w:tcPr>
            <w:tcW w:w="9020" w:type="dxa"/>
            <w:shd w:val="clear" w:color="auto" w:fill="auto"/>
          </w:tcPr>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395"/>
            </w:tblGrid>
            <w:tr w:rsidR="00A774F4" w:rsidRPr="003C0EB9" w14:paraId="6B57C976" w14:textId="77777777" w:rsidTr="00A774F4">
              <w:tc>
                <w:tcPr>
                  <w:tcW w:w="4531" w:type="dxa"/>
                </w:tcPr>
                <w:p w14:paraId="471C94BC" w14:textId="77777777" w:rsidR="00A774F4" w:rsidRPr="003C0EB9" w:rsidRDefault="00A774F4" w:rsidP="00A774F4">
                  <w:pPr>
                    <w:tabs>
                      <w:tab w:val="center" w:pos="4153"/>
                      <w:tab w:val="right" w:pos="8306"/>
                    </w:tabs>
                    <w:jc w:val="center"/>
                    <w:rPr>
                      <w:rFonts w:eastAsia="Calibri"/>
                      <w:sz w:val="22"/>
                      <w:szCs w:val="22"/>
                      <w:lang w:val="en-US" w:eastAsia="en-US"/>
                    </w:rPr>
                  </w:pPr>
                  <w:bookmarkStart w:id="0" w:name="Head"/>
                  <w:bookmarkEnd w:id="0"/>
                  <w:r w:rsidRPr="003C0EB9">
                    <w:rPr>
                      <w:rFonts w:eastAsia="Calibri"/>
                      <w:noProof/>
                      <w:sz w:val="22"/>
                      <w:szCs w:val="22"/>
                      <w:lang w:val="en-US" w:eastAsia="en-US"/>
                    </w:rPr>
                    <w:lastRenderedPageBreak/>
                    <w:drawing>
                      <wp:inline distT="0" distB="0" distL="0" distR="0" wp14:anchorId="05141A35" wp14:editId="6F3E1C46">
                        <wp:extent cx="760730" cy="753745"/>
                        <wp:effectExtent l="0" t="0" r="1270" b="8255"/>
                        <wp:docPr id="2" name="Picture 2" descr="cypru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prus-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0730" cy="753745"/>
                                </a:xfrm>
                                <a:prstGeom prst="rect">
                                  <a:avLst/>
                                </a:prstGeom>
                                <a:noFill/>
                                <a:ln>
                                  <a:noFill/>
                                </a:ln>
                              </pic:spPr>
                            </pic:pic>
                          </a:graphicData>
                        </a:graphic>
                      </wp:inline>
                    </w:drawing>
                  </w:r>
                </w:p>
              </w:tc>
              <w:tc>
                <w:tcPr>
                  <w:tcW w:w="4395" w:type="dxa"/>
                </w:tcPr>
                <w:p w14:paraId="2E82CF4F" w14:textId="77777777" w:rsidR="00A774F4" w:rsidRPr="003C0EB9" w:rsidRDefault="00A774F4" w:rsidP="00A774F4">
                  <w:pPr>
                    <w:tabs>
                      <w:tab w:val="center" w:pos="4153"/>
                      <w:tab w:val="right" w:pos="8306"/>
                    </w:tabs>
                    <w:rPr>
                      <w:rFonts w:eastAsia="Calibri"/>
                      <w:sz w:val="22"/>
                      <w:szCs w:val="22"/>
                      <w:lang w:val="en-US" w:eastAsia="en-US"/>
                    </w:rPr>
                  </w:pPr>
                </w:p>
              </w:tc>
            </w:tr>
            <w:tr w:rsidR="00A774F4" w:rsidRPr="003C0EB9" w14:paraId="1634A0BB" w14:textId="77777777" w:rsidTr="00F90830">
              <w:tc>
                <w:tcPr>
                  <w:tcW w:w="4531" w:type="dxa"/>
                </w:tcPr>
                <w:p w14:paraId="21D8A3D0" w14:textId="77777777" w:rsidR="00A774F4" w:rsidRPr="003C0EB9" w:rsidRDefault="00A774F4" w:rsidP="00A774F4">
                  <w:pPr>
                    <w:tabs>
                      <w:tab w:val="center" w:pos="4153"/>
                      <w:tab w:val="right" w:pos="8306"/>
                    </w:tabs>
                    <w:jc w:val="center"/>
                    <w:rPr>
                      <w:rFonts w:eastAsia="Calibri"/>
                      <w:sz w:val="22"/>
                      <w:szCs w:val="22"/>
                      <w:lang w:val="el-GR" w:eastAsia="en-US"/>
                    </w:rPr>
                  </w:pPr>
                </w:p>
                <w:p w14:paraId="0F11246E" w14:textId="77777777" w:rsidR="00A774F4" w:rsidRPr="003C0EB9" w:rsidRDefault="00A774F4" w:rsidP="00A774F4">
                  <w:pPr>
                    <w:tabs>
                      <w:tab w:val="center" w:pos="4153"/>
                      <w:tab w:val="right" w:pos="8306"/>
                    </w:tabs>
                    <w:jc w:val="center"/>
                    <w:rPr>
                      <w:rFonts w:eastAsia="Calibri"/>
                      <w:sz w:val="22"/>
                      <w:szCs w:val="22"/>
                      <w:lang w:val="el-GR" w:eastAsia="en-US"/>
                    </w:rPr>
                  </w:pPr>
                  <w:r w:rsidRPr="003C0EB9">
                    <w:rPr>
                      <w:rFonts w:eastAsia="Calibri"/>
                      <w:sz w:val="22"/>
                      <w:szCs w:val="22"/>
                      <w:lang w:val="el-GR" w:eastAsia="en-US"/>
                    </w:rPr>
                    <w:t>ΚΥΠΡΙΑΚΗ ΔΗΜΟΚΡΑΤΙΑ</w:t>
                  </w:r>
                </w:p>
              </w:tc>
              <w:tc>
                <w:tcPr>
                  <w:tcW w:w="4395" w:type="dxa"/>
                </w:tcPr>
                <w:p w14:paraId="1FAF367A" w14:textId="77777777" w:rsidR="00A774F4" w:rsidRPr="003C0EB9" w:rsidRDefault="00A774F4" w:rsidP="00A774F4">
                  <w:pPr>
                    <w:tabs>
                      <w:tab w:val="center" w:pos="4153"/>
                      <w:tab w:val="right" w:pos="8306"/>
                    </w:tabs>
                    <w:jc w:val="center"/>
                    <w:rPr>
                      <w:rFonts w:eastAsia="Calibri"/>
                      <w:sz w:val="22"/>
                      <w:szCs w:val="22"/>
                      <w:lang w:val="el-GR" w:eastAsia="en-US"/>
                    </w:rPr>
                  </w:pPr>
                  <w:r w:rsidRPr="003C0EB9">
                    <w:rPr>
                      <w:rFonts w:eastAsia="Calibri"/>
                      <w:sz w:val="22"/>
                      <w:szCs w:val="22"/>
                      <w:lang w:val="el-GR" w:eastAsia="en-US"/>
                    </w:rPr>
                    <w:t>ΦΑΡΜΑΚΕΥΤΙΚΕΣ ΥΠΗΡΕΣΙΕΣ</w:t>
                  </w:r>
                </w:p>
                <w:p w14:paraId="1FC9A7BC" w14:textId="77777777" w:rsidR="00A774F4" w:rsidRPr="003C0EB9" w:rsidRDefault="00A774F4" w:rsidP="00A774F4">
                  <w:pPr>
                    <w:tabs>
                      <w:tab w:val="center" w:pos="4153"/>
                      <w:tab w:val="right" w:pos="8306"/>
                    </w:tabs>
                    <w:jc w:val="center"/>
                    <w:rPr>
                      <w:rFonts w:eastAsia="Calibri"/>
                      <w:sz w:val="22"/>
                      <w:szCs w:val="22"/>
                      <w:lang w:val="el-GR" w:eastAsia="en-US"/>
                    </w:rPr>
                  </w:pPr>
                  <w:r w:rsidRPr="003C0EB9">
                    <w:rPr>
                      <w:rFonts w:eastAsia="Calibri"/>
                      <w:sz w:val="22"/>
                      <w:szCs w:val="22"/>
                      <w:lang w:val="el-GR" w:eastAsia="en-US"/>
                    </w:rPr>
                    <w:t>ΥΠΟΥΡΓΕΙΟ ΥΓΕΙΑΣ</w:t>
                  </w:r>
                </w:p>
              </w:tc>
            </w:tr>
          </w:tbl>
          <w:p w14:paraId="7C06D9B5" w14:textId="77777777" w:rsidR="00A774F4" w:rsidRPr="003C0EB9" w:rsidRDefault="00A774F4" w:rsidP="00A774F4">
            <w:pPr>
              <w:tabs>
                <w:tab w:val="center" w:pos="4153"/>
                <w:tab w:val="right" w:pos="8306"/>
              </w:tabs>
              <w:rPr>
                <w:rFonts w:eastAsia="Calibri"/>
                <w:sz w:val="22"/>
                <w:szCs w:val="22"/>
                <w:lang w:val="en-US" w:eastAsia="en-US"/>
              </w:rPr>
            </w:pPr>
          </w:p>
        </w:tc>
        <w:tc>
          <w:tcPr>
            <w:tcW w:w="222" w:type="dxa"/>
            <w:shd w:val="clear" w:color="auto" w:fill="auto"/>
          </w:tcPr>
          <w:p w14:paraId="2DDAE24D" w14:textId="77777777" w:rsidR="00A774F4" w:rsidRPr="003C0EB9" w:rsidRDefault="00A774F4" w:rsidP="00A774F4">
            <w:pPr>
              <w:tabs>
                <w:tab w:val="center" w:pos="4153"/>
                <w:tab w:val="right" w:pos="8306"/>
              </w:tabs>
              <w:rPr>
                <w:rFonts w:eastAsia="Calibri"/>
                <w:sz w:val="22"/>
                <w:szCs w:val="22"/>
                <w:lang w:val="el-GR" w:eastAsia="en-US"/>
              </w:rPr>
            </w:pPr>
          </w:p>
        </w:tc>
      </w:tr>
    </w:tbl>
    <w:p w14:paraId="46EB8334" w14:textId="77777777" w:rsidR="00F90830" w:rsidRPr="003C0EB9" w:rsidRDefault="00F90830" w:rsidP="00A774F4">
      <w:pPr>
        <w:spacing w:after="140" w:line="280" w:lineRule="atLeast"/>
        <w:jc w:val="both"/>
        <w:rPr>
          <w:color w:val="003399"/>
          <w:sz w:val="32"/>
          <w:lang w:val="el-GR"/>
        </w:rPr>
      </w:pPr>
    </w:p>
    <w:p w14:paraId="0EB3F936" w14:textId="47DD0777" w:rsidR="00E25064" w:rsidRPr="00F77B37" w:rsidRDefault="00BE3268" w:rsidP="00E25064">
      <w:pPr>
        <w:pStyle w:val="RefAgency"/>
        <w:tabs>
          <w:tab w:val="left" w:pos="1277"/>
        </w:tabs>
      </w:pPr>
      <w:r>
        <w:rPr>
          <w:noProof/>
          <w:lang w:val="el-GR"/>
        </w:rPr>
        <w:t>04</w:t>
      </w:r>
      <w:r w:rsidR="00E25064">
        <w:rPr>
          <w:noProof/>
        </w:rPr>
        <w:t xml:space="preserve"> </w:t>
      </w:r>
      <w:r>
        <w:rPr>
          <w:noProof/>
          <w:lang w:val="el-GR"/>
        </w:rPr>
        <w:t>Οκτωβρίου</w:t>
      </w:r>
      <w:r w:rsidR="00E25064">
        <w:rPr>
          <w:noProof/>
        </w:rPr>
        <w:t xml:space="preserve"> 2021</w:t>
      </w:r>
    </w:p>
    <w:p w14:paraId="724542DA" w14:textId="77777777" w:rsidR="00C9486E" w:rsidRPr="00FB04F4" w:rsidRDefault="00C9486E" w:rsidP="00C9486E">
      <w:pPr>
        <w:rPr>
          <w:lang w:val="el-GR"/>
        </w:rPr>
      </w:pPr>
    </w:p>
    <w:p w14:paraId="046D4D35" w14:textId="1161B9B7" w:rsidR="00496752" w:rsidRPr="00BE3268" w:rsidRDefault="00BE3268" w:rsidP="00496752">
      <w:pPr>
        <w:jc w:val="both"/>
        <w:rPr>
          <w:color w:val="365F91" w:themeColor="accent1" w:themeShade="BF"/>
          <w:sz w:val="32"/>
          <w:szCs w:val="32"/>
          <w:lang w:val="el-GR"/>
        </w:rPr>
      </w:pPr>
      <w:r w:rsidRPr="00BE3268">
        <w:rPr>
          <w:color w:val="365F91" w:themeColor="accent1" w:themeShade="BF"/>
          <w:sz w:val="32"/>
          <w:szCs w:val="32"/>
          <w:lang w:val="el-GR"/>
        </w:rPr>
        <w:t xml:space="preserve">Comirnaty και Spikevax: Συστάσεις EMA για επιπλέον </w:t>
      </w:r>
      <w:r w:rsidRPr="00BE3268">
        <w:rPr>
          <w:color w:val="365F91" w:themeColor="accent1" w:themeShade="BF"/>
          <w:sz w:val="32"/>
          <w:szCs w:val="32"/>
          <w:lang w:val="el-GR"/>
        </w:rPr>
        <w:t xml:space="preserve">και </w:t>
      </w:r>
      <w:r>
        <w:rPr>
          <w:color w:val="365F91" w:themeColor="accent1" w:themeShade="BF"/>
          <w:sz w:val="32"/>
          <w:szCs w:val="32"/>
          <w:lang w:val="el-GR"/>
        </w:rPr>
        <w:t>ενισχυτικές</w:t>
      </w:r>
      <w:r w:rsidRPr="00BE3268">
        <w:rPr>
          <w:color w:val="365F91" w:themeColor="accent1" w:themeShade="BF"/>
          <w:sz w:val="32"/>
          <w:szCs w:val="32"/>
          <w:lang w:val="el-GR"/>
        </w:rPr>
        <w:t xml:space="preserve"> δόσεις </w:t>
      </w:r>
    </w:p>
    <w:p w14:paraId="30FAF674" w14:textId="77777777" w:rsidR="00BE3268" w:rsidRPr="00496752" w:rsidRDefault="00BE3268" w:rsidP="00496752">
      <w:pPr>
        <w:jc w:val="both"/>
        <w:rPr>
          <w:color w:val="365F91" w:themeColor="accent1" w:themeShade="BF"/>
          <w:sz w:val="32"/>
          <w:szCs w:val="32"/>
          <w:lang w:val="el-GR"/>
        </w:rPr>
      </w:pPr>
    </w:p>
    <w:p w14:paraId="0FB39279" w14:textId="4B59200D" w:rsidR="00BE3268" w:rsidRDefault="00BE3268" w:rsidP="00BE3268">
      <w:pPr>
        <w:jc w:val="both"/>
        <w:rPr>
          <w:sz w:val="20"/>
          <w:lang w:val="el-GR"/>
        </w:rPr>
      </w:pPr>
      <w:r w:rsidRPr="00BE3268">
        <w:rPr>
          <w:sz w:val="20"/>
          <w:lang w:val="el-GR"/>
        </w:rPr>
        <w:t xml:space="preserve">Η επιτροπή </w:t>
      </w:r>
      <w:r>
        <w:rPr>
          <w:sz w:val="20"/>
          <w:lang w:val="el-GR"/>
        </w:rPr>
        <w:t>για τα φάρμακα ανθρώπινης χρήσης</w:t>
      </w:r>
      <w:r w:rsidRPr="00BE3268">
        <w:rPr>
          <w:sz w:val="20"/>
          <w:lang w:val="el-GR"/>
        </w:rPr>
        <w:t xml:space="preserve"> (CHMP) του EMA κατέληξε στο συμπέρασμα ότι μια επιπλέον δόση των εμβολίων COVID-19 Comirnaty (BioNTech/Pfizer) και Spikevax (Moderna) μπορεί να χορηγηθεί σε άτομα με έντονα εξασθενημένο ανοσοποιητικό σύστημα, τουλάχιστον 28 ημέρες μετά τη δεύτερη δόση.</w:t>
      </w:r>
    </w:p>
    <w:p w14:paraId="352F80F1" w14:textId="77777777" w:rsidR="00BE3268" w:rsidRPr="00BE3268" w:rsidRDefault="00BE3268" w:rsidP="00BE3268">
      <w:pPr>
        <w:jc w:val="both"/>
        <w:rPr>
          <w:sz w:val="20"/>
          <w:lang w:val="el-GR"/>
        </w:rPr>
      </w:pPr>
    </w:p>
    <w:p w14:paraId="7706F502" w14:textId="71B67CE2" w:rsidR="00BE3268" w:rsidRDefault="00BE3268" w:rsidP="00BE3268">
      <w:pPr>
        <w:jc w:val="both"/>
        <w:rPr>
          <w:sz w:val="20"/>
          <w:lang w:val="el-GR"/>
        </w:rPr>
      </w:pPr>
      <w:r w:rsidRPr="00BE3268">
        <w:rPr>
          <w:sz w:val="20"/>
          <w:lang w:val="el-GR"/>
        </w:rPr>
        <w:t>Η σύσταση έρχεται μετά από μελέτες που έδειξαν ότι μια επιπλέον δόση αυτών των εμβολίων αύξησε την ικανότητα παραγωγής αντισωμάτων κατά του ιού που προκαλεί COVID-19 σε ασθενείς με μεταμόσχευση οργάνων με εξασθενημένο ανοσοποιητ</w:t>
      </w:r>
      <w:r>
        <w:rPr>
          <w:sz w:val="20"/>
          <w:lang w:val="el-GR"/>
        </w:rPr>
        <w:t>ικό σύστημα.</w:t>
      </w:r>
    </w:p>
    <w:p w14:paraId="00E1E49D" w14:textId="77777777" w:rsidR="00BE3268" w:rsidRPr="00BE3268" w:rsidRDefault="00BE3268" w:rsidP="00BE3268">
      <w:pPr>
        <w:jc w:val="both"/>
        <w:rPr>
          <w:sz w:val="20"/>
          <w:lang w:val="el-GR"/>
        </w:rPr>
      </w:pPr>
    </w:p>
    <w:p w14:paraId="60F251C0" w14:textId="77F570A0" w:rsidR="00BE3268" w:rsidRDefault="00BE3268" w:rsidP="00BE3268">
      <w:pPr>
        <w:jc w:val="both"/>
        <w:rPr>
          <w:sz w:val="20"/>
          <w:lang w:val="el-GR"/>
        </w:rPr>
      </w:pPr>
      <w:r w:rsidRPr="00BE3268">
        <w:rPr>
          <w:sz w:val="20"/>
          <w:lang w:val="el-GR"/>
        </w:rPr>
        <w:t>Παρόλο που δεν υπάρχει άμεση απόδειξη ότι η ικανότητα παραγωγής αντισωμάτων σε αυτούς τους ασθενείς προστατεύεται από τον COVID-19, αναμένεται ότι η επιπλέον δόση θα αυξήσει την προστασία τουλάχιστον σε ορισμένους ασθενείς. Ο EMA θα συνεχίσει να παρακολουθεί τυχόν δεδομένα που προκύπτουν για την αποτελεσματικότητά του.</w:t>
      </w:r>
    </w:p>
    <w:p w14:paraId="1DEEA370" w14:textId="77777777" w:rsidR="00BE3268" w:rsidRPr="00BE3268" w:rsidRDefault="00BE3268" w:rsidP="00BE3268">
      <w:pPr>
        <w:jc w:val="both"/>
        <w:rPr>
          <w:sz w:val="20"/>
          <w:lang w:val="el-GR"/>
        </w:rPr>
      </w:pPr>
    </w:p>
    <w:p w14:paraId="79CE205A" w14:textId="5A6795EE" w:rsidR="00BE3268" w:rsidRDefault="00BE3268" w:rsidP="00BE3268">
      <w:pPr>
        <w:jc w:val="both"/>
        <w:rPr>
          <w:color w:val="000000" w:themeColor="text1"/>
          <w:sz w:val="20"/>
          <w:lang w:val="el-GR"/>
        </w:rPr>
      </w:pPr>
      <w:r w:rsidRPr="00BE3268">
        <w:rPr>
          <w:sz w:val="20"/>
          <w:lang w:val="el-GR"/>
        </w:rPr>
        <w:t>Οι πληροφορίες για τα προϊόντα και των δύο εμβολίων θα ενημερωθούν ώστε να περιλαμβάνουν αυτήν τη σύσταση.</w:t>
      </w:r>
    </w:p>
    <w:p w14:paraId="52EFA812" w14:textId="1E678B46" w:rsidR="00A02859" w:rsidRDefault="00BE3268" w:rsidP="00BE3268">
      <w:pPr>
        <w:tabs>
          <w:tab w:val="left" w:pos="3900"/>
        </w:tabs>
        <w:rPr>
          <w:sz w:val="20"/>
          <w:lang w:val="el-GR"/>
        </w:rPr>
      </w:pPr>
      <w:r>
        <w:rPr>
          <w:sz w:val="20"/>
          <w:lang w:val="el-GR"/>
        </w:rPr>
        <w:tab/>
      </w:r>
    </w:p>
    <w:p w14:paraId="632CED87" w14:textId="7A5B786B" w:rsidR="00BE3268" w:rsidRPr="00BE3268" w:rsidRDefault="00BE3268" w:rsidP="00BE3268">
      <w:pPr>
        <w:tabs>
          <w:tab w:val="left" w:pos="3900"/>
        </w:tabs>
        <w:rPr>
          <w:b/>
          <w:sz w:val="20"/>
          <w:lang w:val="el-GR"/>
        </w:rPr>
      </w:pPr>
      <w:r w:rsidRPr="00BE3268">
        <w:rPr>
          <w:b/>
          <w:sz w:val="20"/>
          <w:lang w:val="el-GR"/>
        </w:rPr>
        <w:t xml:space="preserve">Ενισχυτικές </w:t>
      </w:r>
      <w:r w:rsidRPr="00BE3268">
        <w:rPr>
          <w:b/>
          <w:sz w:val="20"/>
          <w:lang w:val="el-GR"/>
        </w:rPr>
        <w:t>δόσεις</w:t>
      </w:r>
    </w:p>
    <w:p w14:paraId="71629A41" w14:textId="77777777" w:rsidR="00BE3268" w:rsidRPr="00BE3268" w:rsidRDefault="00BE3268" w:rsidP="00BE3268">
      <w:pPr>
        <w:tabs>
          <w:tab w:val="left" w:pos="3900"/>
        </w:tabs>
        <w:rPr>
          <w:sz w:val="20"/>
          <w:lang w:val="el-GR"/>
        </w:rPr>
      </w:pPr>
    </w:p>
    <w:p w14:paraId="4DA13154" w14:textId="358B42D7" w:rsidR="00BE3268" w:rsidRDefault="00BE3268" w:rsidP="00BE3268">
      <w:pPr>
        <w:tabs>
          <w:tab w:val="left" w:pos="3900"/>
        </w:tabs>
        <w:rPr>
          <w:sz w:val="20"/>
          <w:lang w:val="el-GR"/>
        </w:rPr>
      </w:pPr>
      <w:r w:rsidRPr="00BE3268">
        <w:rPr>
          <w:sz w:val="20"/>
          <w:lang w:val="el-GR"/>
        </w:rPr>
        <w:t xml:space="preserve">Είναι σημαντικό να γίνει διάκριση μεταξύ της επιπλέον δόσης για άτομα με εξασθενημένο ανοσοποιητικό σύστημα και των </w:t>
      </w:r>
      <w:r>
        <w:rPr>
          <w:sz w:val="20"/>
          <w:lang w:val="el-GR"/>
        </w:rPr>
        <w:t>ενισχυτικών</w:t>
      </w:r>
      <w:r w:rsidRPr="00BE3268">
        <w:rPr>
          <w:sz w:val="20"/>
          <w:lang w:val="el-GR"/>
        </w:rPr>
        <w:t xml:space="preserve"> δόσεων για άτομα με φυσιολογικό ανοσοποιητικό σύστημα.</w:t>
      </w:r>
    </w:p>
    <w:p w14:paraId="3A8FFCF6" w14:textId="77777777" w:rsidR="00BE3268" w:rsidRPr="00BE3268" w:rsidRDefault="00BE3268" w:rsidP="00BE3268">
      <w:pPr>
        <w:tabs>
          <w:tab w:val="left" w:pos="3900"/>
        </w:tabs>
        <w:rPr>
          <w:sz w:val="20"/>
          <w:lang w:val="el-GR"/>
        </w:rPr>
      </w:pPr>
    </w:p>
    <w:p w14:paraId="3BEE42D3" w14:textId="333F9535" w:rsidR="00BE3268" w:rsidRDefault="00BE3268" w:rsidP="00BE3268">
      <w:pPr>
        <w:tabs>
          <w:tab w:val="left" w:pos="3900"/>
        </w:tabs>
        <w:rPr>
          <w:sz w:val="20"/>
          <w:lang w:val="el-GR"/>
        </w:rPr>
      </w:pPr>
      <w:r w:rsidRPr="00BE3268">
        <w:rPr>
          <w:sz w:val="20"/>
          <w:lang w:val="el-GR"/>
        </w:rPr>
        <w:t>Τ</w:t>
      </w:r>
      <w:r w:rsidRPr="00BE3268">
        <w:rPr>
          <w:sz w:val="20"/>
          <w:lang w:val="el-GR"/>
        </w:rPr>
        <w:t xml:space="preserve">ο τελευταίο, η CHMP έχει αξιολογήσει δεδομένα για το Comirnaty που δείχνουν αύξηση των επιπέδων αντισωμάτων όταν χορηγείται </w:t>
      </w:r>
      <w:r>
        <w:rPr>
          <w:sz w:val="20"/>
          <w:lang w:val="el-GR"/>
        </w:rPr>
        <w:t>ενισχυτική</w:t>
      </w:r>
      <w:r w:rsidRPr="00BE3268">
        <w:rPr>
          <w:sz w:val="20"/>
          <w:lang w:val="el-GR"/>
        </w:rPr>
        <w:t xml:space="preserve"> δόση περίπου 6 μήνες μετά τη δεύτερη δόση σε άτομα από 18 έως 55 ετών. Με βάση αυτά τα δεδομένα, η Επιτροπή κατέληξε στο συμπέρασμα ότι οι </w:t>
      </w:r>
      <w:r>
        <w:rPr>
          <w:sz w:val="20"/>
          <w:lang w:val="el-GR"/>
        </w:rPr>
        <w:t>ενισχυτικ</w:t>
      </w:r>
      <w:r>
        <w:rPr>
          <w:sz w:val="20"/>
          <w:lang w:val="el-GR"/>
        </w:rPr>
        <w:t>ές</w:t>
      </w:r>
      <w:r w:rsidRPr="00BE3268">
        <w:rPr>
          <w:sz w:val="20"/>
          <w:lang w:val="el-GR"/>
        </w:rPr>
        <w:t xml:space="preserve"> δόσεις μπορούν να ληφθούν υπόψη τουλάχιστον 6 μήνες μετά τη δεύτερη δόση για άτομα ηλικίας 18 ετών και άνω.</w:t>
      </w:r>
    </w:p>
    <w:p w14:paraId="294BD94A" w14:textId="77777777" w:rsidR="00BE3268" w:rsidRPr="00BE3268" w:rsidRDefault="00BE3268" w:rsidP="00BE3268">
      <w:pPr>
        <w:tabs>
          <w:tab w:val="left" w:pos="3900"/>
        </w:tabs>
        <w:rPr>
          <w:sz w:val="20"/>
          <w:lang w:val="el-GR"/>
        </w:rPr>
      </w:pPr>
    </w:p>
    <w:p w14:paraId="193328B5" w14:textId="5AF3C588" w:rsidR="00BE3268" w:rsidRDefault="00BE3268" w:rsidP="00BE3268">
      <w:pPr>
        <w:tabs>
          <w:tab w:val="left" w:pos="3900"/>
        </w:tabs>
        <w:rPr>
          <w:sz w:val="20"/>
          <w:lang w:val="el-GR"/>
        </w:rPr>
      </w:pPr>
      <w:r w:rsidRPr="00BE3268">
        <w:rPr>
          <w:sz w:val="20"/>
          <w:lang w:val="el-GR"/>
        </w:rPr>
        <w:t xml:space="preserve">Η χρήση </w:t>
      </w:r>
      <w:r>
        <w:rPr>
          <w:sz w:val="20"/>
          <w:lang w:val="el-GR"/>
        </w:rPr>
        <w:t>ενισχυτικών</w:t>
      </w:r>
      <w:r w:rsidRPr="00BE3268">
        <w:rPr>
          <w:sz w:val="20"/>
          <w:lang w:val="el-GR"/>
        </w:rPr>
        <w:t xml:space="preserve"> δόσεων θα ακολουθήσει επίσημες συστάσεις σε εθνικό επίπεδο όπως ορίζονται από φορείς δημόσιας υγείας, λαμβάνοντας υπόψη τα αναδυόμενα δεδομένα αποτελεσματικότητας και τυχόν αβεβαιότητες σχετικά με την ασφάλεια. Ο κίνδυνος φλεγμονωδών καρδιακών παθήσεων ή άλλων πολύ σπάνιων παρενεργειών μετά από </w:t>
      </w:r>
      <w:r>
        <w:rPr>
          <w:sz w:val="20"/>
          <w:lang w:val="el-GR"/>
        </w:rPr>
        <w:t>ενισχυτική δόση</w:t>
      </w:r>
      <w:r w:rsidRPr="00BE3268">
        <w:rPr>
          <w:sz w:val="20"/>
          <w:lang w:val="el-GR"/>
        </w:rPr>
        <w:t xml:space="preserve"> δεν είναι γνωστός και παρακολουθείται προσεκτικά. Όσον αφορά όλα τα φάρμακα, ο EMA θα συνεχίσει να εξετάζει όλα τα δεδομένα σχετικά με την ασφάλεια και την αποτελεσματικότητα του εμβολίου.</w:t>
      </w:r>
      <w:bookmarkStart w:id="1" w:name="_GoBack"/>
      <w:bookmarkEnd w:id="1"/>
    </w:p>
    <w:p w14:paraId="54EDD1DD" w14:textId="2747F4D1" w:rsidR="00BE3268" w:rsidRDefault="00BE3268" w:rsidP="00BE3268">
      <w:pPr>
        <w:tabs>
          <w:tab w:val="left" w:pos="3900"/>
        </w:tabs>
        <w:rPr>
          <w:sz w:val="20"/>
          <w:lang w:val="el-GR"/>
        </w:rPr>
      </w:pPr>
    </w:p>
    <w:p w14:paraId="371CA916" w14:textId="77777777" w:rsidR="00BE3268" w:rsidRPr="00BE3268" w:rsidRDefault="00BE3268" w:rsidP="00BE3268">
      <w:pPr>
        <w:tabs>
          <w:tab w:val="left" w:pos="3900"/>
        </w:tabs>
        <w:rPr>
          <w:sz w:val="20"/>
          <w:lang w:val="el-GR"/>
        </w:rPr>
      </w:pPr>
      <w:r w:rsidRPr="00BE3268">
        <w:rPr>
          <w:sz w:val="20"/>
          <w:lang w:val="el-GR"/>
        </w:rPr>
        <w:t>Περισσότερες πληροφορίες σχετικά με τις ενισχυτικές συστάσεις για το Comirnaty θα είναι διαθέσιμες στις ενημερωμένες πληροφορίες προϊόντος.</w:t>
      </w:r>
    </w:p>
    <w:p w14:paraId="618F7600" w14:textId="18D46E62" w:rsidR="00BE3268" w:rsidRPr="00BE3268" w:rsidRDefault="00BE3268" w:rsidP="00BE3268">
      <w:pPr>
        <w:tabs>
          <w:tab w:val="left" w:pos="3900"/>
        </w:tabs>
        <w:rPr>
          <w:sz w:val="20"/>
          <w:lang w:val="el-GR"/>
        </w:rPr>
      </w:pPr>
      <w:r w:rsidRPr="00BE3268">
        <w:rPr>
          <w:sz w:val="20"/>
          <w:lang w:val="el-GR"/>
        </w:rPr>
        <w:t xml:space="preserve">Η Επιτροπή αξιολογεί αυτήν τη στιγμή δεδομένα για να υποστηρίξει μια </w:t>
      </w:r>
      <w:r>
        <w:rPr>
          <w:sz w:val="20"/>
          <w:lang w:val="el-GR"/>
        </w:rPr>
        <w:t>ενισχυτική</w:t>
      </w:r>
      <w:r w:rsidRPr="00BE3268">
        <w:rPr>
          <w:sz w:val="20"/>
          <w:lang w:val="el-GR"/>
        </w:rPr>
        <w:t xml:space="preserve"> δόση για το Spikevax. Ο EMA θα ανακοινώσει το αποτέλεσμα όταν ολοκληρωθεί η αξιολόγηση.</w:t>
      </w:r>
    </w:p>
    <w:p w14:paraId="04139B73" w14:textId="77777777" w:rsidR="00BE3268" w:rsidRDefault="00BE3268" w:rsidP="00BE3268">
      <w:pPr>
        <w:tabs>
          <w:tab w:val="left" w:pos="3900"/>
        </w:tabs>
        <w:rPr>
          <w:sz w:val="20"/>
          <w:lang w:val="el-GR"/>
        </w:rPr>
      </w:pPr>
    </w:p>
    <w:p w14:paraId="57AEC301" w14:textId="01D5D9DD" w:rsidR="00BE3268" w:rsidRPr="00BE3268" w:rsidRDefault="00BE3268" w:rsidP="00BE3268">
      <w:pPr>
        <w:tabs>
          <w:tab w:val="left" w:pos="3900"/>
        </w:tabs>
        <w:rPr>
          <w:b/>
          <w:sz w:val="20"/>
          <w:lang w:val="el-GR"/>
        </w:rPr>
      </w:pPr>
      <w:r w:rsidRPr="00BE3268">
        <w:rPr>
          <w:b/>
          <w:sz w:val="20"/>
          <w:lang w:val="el-GR"/>
        </w:rPr>
        <w:t>Εθνικές εκστρατείες ανοσοποίησης</w:t>
      </w:r>
    </w:p>
    <w:p w14:paraId="6359030C" w14:textId="77777777" w:rsidR="00BE3268" w:rsidRPr="00BE3268" w:rsidRDefault="00BE3268" w:rsidP="00BE3268">
      <w:pPr>
        <w:tabs>
          <w:tab w:val="left" w:pos="3900"/>
        </w:tabs>
        <w:rPr>
          <w:sz w:val="20"/>
          <w:lang w:val="el-GR"/>
        </w:rPr>
      </w:pPr>
    </w:p>
    <w:p w14:paraId="667BD181" w14:textId="65AD234C" w:rsidR="00BE3268" w:rsidRDefault="00BE3268" w:rsidP="00BE3268">
      <w:pPr>
        <w:tabs>
          <w:tab w:val="left" w:pos="3900"/>
        </w:tabs>
        <w:rPr>
          <w:sz w:val="20"/>
          <w:lang w:val="el-GR"/>
        </w:rPr>
      </w:pPr>
      <w:r w:rsidRPr="00BE3268">
        <w:rPr>
          <w:sz w:val="20"/>
          <w:lang w:val="el-GR"/>
        </w:rPr>
        <w:t xml:space="preserve">Η εφαρμογή εκστρατειών εμβολιασμού στην ΕΕ παραμένει προνόμιο των εθνικών τεχνικών συμβουλευτικών ομάδων ανοσοποίησης (NITAG) που καθοδηγούν τις εκστρατείες εμβολιασμού σε κάθε κράτος μέλος της ΕΕ. Αυτά τα όργανα είναι </w:t>
      </w:r>
      <w:r>
        <w:rPr>
          <w:sz w:val="20"/>
          <w:lang w:val="el-GR"/>
        </w:rPr>
        <w:t>τα καθ’υλη αρμόδια σώματα για να λάβουν</w:t>
      </w:r>
      <w:r w:rsidRPr="00BE3268">
        <w:rPr>
          <w:sz w:val="20"/>
          <w:lang w:val="el-GR"/>
        </w:rPr>
        <w:t xml:space="preserve"> υπόψη οι </w:t>
      </w:r>
      <w:r>
        <w:rPr>
          <w:sz w:val="20"/>
          <w:lang w:val="el-GR"/>
        </w:rPr>
        <w:t xml:space="preserve">τις </w:t>
      </w:r>
      <w:r w:rsidRPr="00BE3268">
        <w:rPr>
          <w:sz w:val="20"/>
          <w:lang w:val="el-GR"/>
        </w:rPr>
        <w:t>τοπικές συνθήκες, συμπεριλαμβανομένης της εξάπλωσης του ιού (ειδικά τυχόν παραλλαγές που προκαλούν ανησυχία), τη διαθεσιμότητα εμβολίων και τις ικανότητες των εθνικών συστημάτων υγείας.</w:t>
      </w:r>
    </w:p>
    <w:p w14:paraId="4BC3C3B5" w14:textId="77777777" w:rsidR="00BE3268" w:rsidRPr="00BE3268" w:rsidRDefault="00BE3268" w:rsidP="00BE3268">
      <w:pPr>
        <w:tabs>
          <w:tab w:val="left" w:pos="3900"/>
        </w:tabs>
        <w:rPr>
          <w:sz w:val="20"/>
          <w:lang w:val="el-GR"/>
        </w:rPr>
      </w:pPr>
    </w:p>
    <w:p w14:paraId="0E87B222" w14:textId="37214164" w:rsidR="00BE3268" w:rsidRPr="00BE3268" w:rsidRDefault="00BE3268" w:rsidP="00BE3268">
      <w:pPr>
        <w:tabs>
          <w:tab w:val="left" w:pos="3900"/>
        </w:tabs>
        <w:rPr>
          <w:sz w:val="20"/>
          <w:lang w:val="el-GR"/>
        </w:rPr>
      </w:pPr>
      <w:r w:rsidRPr="00BE3268">
        <w:rPr>
          <w:sz w:val="20"/>
          <w:lang w:val="el-GR"/>
        </w:rPr>
        <w:t>Ο EMA θα συνεχίσει να συνεργάζεται στενά με τις εθνικές αρχές και το Ευρωπαϊκό Κέντρο Πρόληψης και Ελέγχου Νοσημάτων (ECDC) για την αξιολόγηση των διαθέσιμων δεδομένων και την παροχή συστάσεων για την προστασία του κοινού κατά τη διάρκεια της πανδημίας</w:t>
      </w:r>
    </w:p>
    <w:sectPr w:rsidR="00BE3268" w:rsidRPr="00BE3268">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AAEB7" w14:textId="77777777" w:rsidR="00DB6A0F" w:rsidRDefault="00DB6A0F" w:rsidP="00C9486E">
      <w:r>
        <w:separator/>
      </w:r>
    </w:p>
  </w:endnote>
  <w:endnote w:type="continuationSeparator" w:id="0">
    <w:p w14:paraId="26DC79A1" w14:textId="77777777" w:rsidR="00DB6A0F" w:rsidRDefault="00DB6A0F" w:rsidP="00C9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47093848"/>
      <w:docPartObj>
        <w:docPartGallery w:val="Page Numbers (Bottom of Page)"/>
        <w:docPartUnique/>
      </w:docPartObj>
    </w:sdtPr>
    <w:sdtEndPr>
      <w:rPr>
        <w:rStyle w:val="PageNumber"/>
      </w:rPr>
    </w:sdtEndPr>
    <w:sdtContent>
      <w:p w14:paraId="7B5AA6CB" w14:textId="77777777" w:rsidR="00C9486E" w:rsidRDefault="00C9486E" w:rsidP="002433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BDB886" w14:textId="77777777" w:rsidR="00C9486E" w:rsidRDefault="00C9486E" w:rsidP="00C9486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72678130"/>
      <w:docPartObj>
        <w:docPartGallery w:val="Page Numbers (Bottom of Page)"/>
        <w:docPartUnique/>
      </w:docPartObj>
    </w:sdtPr>
    <w:sdtEndPr>
      <w:rPr>
        <w:rStyle w:val="PageNumber"/>
      </w:rPr>
    </w:sdtEndPr>
    <w:sdtContent>
      <w:p w14:paraId="602717BE" w14:textId="7E5DA943" w:rsidR="00C9486E" w:rsidRPr="00E25064" w:rsidRDefault="00C9486E" w:rsidP="002433C9">
        <w:pPr>
          <w:pStyle w:val="Footer"/>
          <w:framePr w:wrap="none" w:vAnchor="text" w:hAnchor="margin" w:xAlign="right" w:y="1"/>
          <w:rPr>
            <w:rStyle w:val="PageNumber"/>
            <w:lang w:val="el-GR"/>
          </w:rPr>
        </w:pPr>
        <w:r>
          <w:rPr>
            <w:rStyle w:val="PageNumber"/>
          </w:rPr>
          <w:fldChar w:fldCharType="begin"/>
        </w:r>
        <w:r w:rsidRPr="00E25064">
          <w:rPr>
            <w:rStyle w:val="PageNumber"/>
            <w:lang w:val="el-GR"/>
          </w:rPr>
          <w:instrText xml:space="preserve"> </w:instrText>
        </w:r>
        <w:r>
          <w:rPr>
            <w:rStyle w:val="PageNumber"/>
          </w:rPr>
          <w:instrText>PAGE</w:instrText>
        </w:r>
        <w:r w:rsidRPr="00E25064">
          <w:rPr>
            <w:rStyle w:val="PageNumber"/>
            <w:lang w:val="el-GR"/>
          </w:rPr>
          <w:instrText xml:space="preserve"> </w:instrText>
        </w:r>
        <w:r>
          <w:rPr>
            <w:rStyle w:val="PageNumber"/>
          </w:rPr>
          <w:fldChar w:fldCharType="separate"/>
        </w:r>
        <w:r w:rsidR="00BE3268">
          <w:rPr>
            <w:rStyle w:val="PageNumber"/>
            <w:noProof/>
          </w:rPr>
          <w:t>2</w:t>
        </w:r>
        <w:r>
          <w:rPr>
            <w:rStyle w:val="PageNumber"/>
          </w:rPr>
          <w:fldChar w:fldCharType="end"/>
        </w:r>
      </w:p>
    </w:sdtContent>
  </w:sdt>
  <w:p w14:paraId="56C6C17E" w14:textId="77777777" w:rsidR="00C9486E" w:rsidRPr="00E25064" w:rsidRDefault="00C9486E" w:rsidP="00C9486E">
    <w:pPr>
      <w:pStyle w:val="Footer"/>
      <w:ind w:right="360"/>
      <w:rPr>
        <w:sz w:val="14"/>
        <w:szCs w:val="14"/>
        <w:lang w:val="el-GR"/>
      </w:rPr>
    </w:pPr>
  </w:p>
  <w:p w14:paraId="21F9E713" w14:textId="77777777" w:rsidR="00C9486E" w:rsidRPr="00E25064" w:rsidRDefault="00C9486E" w:rsidP="00C9486E">
    <w:pPr>
      <w:pStyle w:val="Footer"/>
      <w:ind w:right="360"/>
      <w:rPr>
        <w:sz w:val="14"/>
        <w:szCs w:val="14"/>
        <w:lang w:val="el-GR"/>
      </w:rPr>
    </w:pPr>
  </w:p>
  <w:p w14:paraId="4EC35C29" w14:textId="77777777" w:rsidR="00BE3268" w:rsidRPr="00BE3268" w:rsidRDefault="00BE3268" w:rsidP="00BE3268">
    <w:pPr>
      <w:jc w:val="both"/>
      <w:rPr>
        <w:color w:val="365F91" w:themeColor="accent1" w:themeShade="BF"/>
        <w:sz w:val="12"/>
        <w:szCs w:val="12"/>
        <w:lang w:val="el-GR"/>
      </w:rPr>
    </w:pPr>
    <w:r w:rsidRPr="00BE3268">
      <w:rPr>
        <w:color w:val="365F91" w:themeColor="accent1" w:themeShade="BF"/>
        <w:sz w:val="12"/>
        <w:szCs w:val="12"/>
        <w:lang w:val="el-GR"/>
      </w:rPr>
      <w:t xml:space="preserve">Comirnaty και Spikevax: Συστάσεις EMA για επιπλέον και ενισχυτικές δόσεις </w:t>
    </w:r>
  </w:p>
  <w:p w14:paraId="798B3B4B" w14:textId="77777777" w:rsidR="00C9486E" w:rsidRPr="005210C6" w:rsidRDefault="00C9486E">
    <w:pPr>
      <w:pStyle w:val="Footer"/>
      <w:rPr>
        <w:lang w:val="el-G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4BFBA" w14:textId="77777777" w:rsidR="00DB6A0F" w:rsidRDefault="00DB6A0F" w:rsidP="00C9486E">
      <w:r>
        <w:separator/>
      </w:r>
    </w:p>
  </w:footnote>
  <w:footnote w:type="continuationSeparator" w:id="0">
    <w:p w14:paraId="38830EB6" w14:textId="77777777" w:rsidR="00DB6A0F" w:rsidRDefault="00DB6A0F" w:rsidP="00C948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06A8"/>
    <w:multiLevelType w:val="multilevel"/>
    <w:tmpl w:val="A02E932A"/>
    <w:numStyleLink w:val="BulletsAgency"/>
  </w:abstractNum>
  <w:abstractNum w:abstractNumId="1" w15:restartNumberingAfterBreak="0">
    <w:nsid w:val="048B0115"/>
    <w:multiLevelType w:val="hybridMultilevel"/>
    <w:tmpl w:val="65D4F1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3" w15:restartNumberingAfterBreak="0">
    <w:nsid w:val="1B7461D1"/>
    <w:multiLevelType w:val="hybridMultilevel"/>
    <w:tmpl w:val="ED8A79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64B5FBF"/>
    <w:multiLevelType w:val="hybridMultilevel"/>
    <w:tmpl w:val="E174E0E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490A397C"/>
    <w:multiLevelType w:val="multilevel"/>
    <w:tmpl w:val="A02E932A"/>
    <w:numStyleLink w:val="BulletsAgency"/>
  </w:abstractNum>
  <w:abstractNum w:abstractNumId="6" w15:restartNumberingAfterBreak="0">
    <w:nsid w:val="73F25408"/>
    <w:multiLevelType w:val="multilevel"/>
    <w:tmpl w:val="A02E932A"/>
    <w:numStyleLink w:val="BulletsAgency"/>
  </w:abstractNum>
  <w:abstractNum w:abstractNumId="7" w15:restartNumberingAfterBreak="0">
    <w:nsid w:val="7EF00DC1"/>
    <w:multiLevelType w:val="hybridMultilevel"/>
    <w:tmpl w:val="B27CDCA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 w:numId="7">
    <w:abstractNumId w:val="7"/>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4F4"/>
    <w:rsid w:val="00004F4D"/>
    <w:rsid w:val="00006123"/>
    <w:rsid w:val="000262B3"/>
    <w:rsid w:val="00035971"/>
    <w:rsid w:val="00044D9E"/>
    <w:rsid w:val="00074387"/>
    <w:rsid w:val="0008588C"/>
    <w:rsid w:val="000A1F48"/>
    <w:rsid w:val="000B3549"/>
    <w:rsid w:val="000B38AD"/>
    <w:rsid w:val="000E1139"/>
    <w:rsid w:val="00104129"/>
    <w:rsid w:val="00107358"/>
    <w:rsid w:val="00121B3D"/>
    <w:rsid w:val="0013660F"/>
    <w:rsid w:val="00153056"/>
    <w:rsid w:val="00155C77"/>
    <w:rsid w:val="001648F6"/>
    <w:rsid w:val="001B6090"/>
    <w:rsid w:val="001B640A"/>
    <w:rsid w:val="001E052B"/>
    <w:rsid w:val="001E2A1C"/>
    <w:rsid w:val="00210A31"/>
    <w:rsid w:val="00215687"/>
    <w:rsid w:val="00242CE0"/>
    <w:rsid w:val="002B5A91"/>
    <w:rsid w:val="00323834"/>
    <w:rsid w:val="003238B6"/>
    <w:rsid w:val="00384C39"/>
    <w:rsid w:val="003A1AE0"/>
    <w:rsid w:val="003C0EB9"/>
    <w:rsid w:val="003C5F72"/>
    <w:rsid w:val="003F22F9"/>
    <w:rsid w:val="00407A86"/>
    <w:rsid w:val="004162A3"/>
    <w:rsid w:val="004275FF"/>
    <w:rsid w:val="00435545"/>
    <w:rsid w:val="00447CB5"/>
    <w:rsid w:val="00457DB3"/>
    <w:rsid w:val="00476D6F"/>
    <w:rsid w:val="00485A41"/>
    <w:rsid w:val="00496752"/>
    <w:rsid w:val="004D1BF6"/>
    <w:rsid w:val="004D6302"/>
    <w:rsid w:val="004F488B"/>
    <w:rsid w:val="005210C6"/>
    <w:rsid w:val="005306D9"/>
    <w:rsid w:val="00580BB7"/>
    <w:rsid w:val="00581D72"/>
    <w:rsid w:val="005E2ECE"/>
    <w:rsid w:val="00611D79"/>
    <w:rsid w:val="006135E9"/>
    <w:rsid w:val="006160C3"/>
    <w:rsid w:val="00631D27"/>
    <w:rsid w:val="0069327A"/>
    <w:rsid w:val="006A236E"/>
    <w:rsid w:val="006F29F0"/>
    <w:rsid w:val="006F7546"/>
    <w:rsid w:val="006F79F0"/>
    <w:rsid w:val="007325F6"/>
    <w:rsid w:val="00735ADE"/>
    <w:rsid w:val="00745138"/>
    <w:rsid w:val="007451BA"/>
    <w:rsid w:val="007627F9"/>
    <w:rsid w:val="007F4DF5"/>
    <w:rsid w:val="00807EFD"/>
    <w:rsid w:val="00881867"/>
    <w:rsid w:val="00896445"/>
    <w:rsid w:val="00896A14"/>
    <w:rsid w:val="008C2B7C"/>
    <w:rsid w:val="008D5809"/>
    <w:rsid w:val="008E1F5F"/>
    <w:rsid w:val="00900A7D"/>
    <w:rsid w:val="00923F38"/>
    <w:rsid w:val="00945579"/>
    <w:rsid w:val="00946496"/>
    <w:rsid w:val="00950D9D"/>
    <w:rsid w:val="00982899"/>
    <w:rsid w:val="009C076B"/>
    <w:rsid w:val="009C6413"/>
    <w:rsid w:val="009E5CFE"/>
    <w:rsid w:val="009F746B"/>
    <w:rsid w:val="009F7D89"/>
    <w:rsid w:val="00A01EFA"/>
    <w:rsid w:val="00A02859"/>
    <w:rsid w:val="00A3740F"/>
    <w:rsid w:val="00A519D3"/>
    <w:rsid w:val="00A5467C"/>
    <w:rsid w:val="00A67D9B"/>
    <w:rsid w:val="00A774F4"/>
    <w:rsid w:val="00A82D15"/>
    <w:rsid w:val="00A84B3D"/>
    <w:rsid w:val="00A91C2B"/>
    <w:rsid w:val="00AA224C"/>
    <w:rsid w:val="00AB41AF"/>
    <w:rsid w:val="00AC0EE4"/>
    <w:rsid w:val="00AD5208"/>
    <w:rsid w:val="00AD73FC"/>
    <w:rsid w:val="00AE748F"/>
    <w:rsid w:val="00AF76DD"/>
    <w:rsid w:val="00B0782A"/>
    <w:rsid w:val="00B30D57"/>
    <w:rsid w:val="00B32186"/>
    <w:rsid w:val="00B70558"/>
    <w:rsid w:val="00BA343B"/>
    <w:rsid w:val="00BA3545"/>
    <w:rsid w:val="00BD44D6"/>
    <w:rsid w:val="00BE3268"/>
    <w:rsid w:val="00BF2999"/>
    <w:rsid w:val="00BF4DF8"/>
    <w:rsid w:val="00BF75E2"/>
    <w:rsid w:val="00BF7A10"/>
    <w:rsid w:val="00C304D1"/>
    <w:rsid w:val="00C537FC"/>
    <w:rsid w:val="00C76D31"/>
    <w:rsid w:val="00C87D1B"/>
    <w:rsid w:val="00C9486E"/>
    <w:rsid w:val="00CA2B16"/>
    <w:rsid w:val="00CC1E01"/>
    <w:rsid w:val="00CE2672"/>
    <w:rsid w:val="00D041FB"/>
    <w:rsid w:val="00D06E3F"/>
    <w:rsid w:val="00D17B2B"/>
    <w:rsid w:val="00D23046"/>
    <w:rsid w:val="00D438E7"/>
    <w:rsid w:val="00D541CB"/>
    <w:rsid w:val="00D84E36"/>
    <w:rsid w:val="00DA5A84"/>
    <w:rsid w:val="00DB6A0F"/>
    <w:rsid w:val="00DD58A4"/>
    <w:rsid w:val="00DD6B6A"/>
    <w:rsid w:val="00DE2316"/>
    <w:rsid w:val="00E13AF4"/>
    <w:rsid w:val="00E25064"/>
    <w:rsid w:val="00E64972"/>
    <w:rsid w:val="00E96DC7"/>
    <w:rsid w:val="00EC0E5B"/>
    <w:rsid w:val="00F15753"/>
    <w:rsid w:val="00F31A03"/>
    <w:rsid w:val="00F335A4"/>
    <w:rsid w:val="00F33702"/>
    <w:rsid w:val="00F43A4D"/>
    <w:rsid w:val="00F508CE"/>
    <w:rsid w:val="00F607AE"/>
    <w:rsid w:val="00F6781F"/>
    <w:rsid w:val="00F820AE"/>
    <w:rsid w:val="00F90830"/>
    <w:rsid w:val="00FA3FC8"/>
    <w:rsid w:val="00FB04F4"/>
    <w:rsid w:val="00FD48C7"/>
    <w:rsid w:val="00FE1B04"/>
    <w:rsid w:val="00FE3B5E"/>
    <w:rsid w:val="00FF3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184130E"/>
  <w15:docId w15:val="{9B1391A5-CD8B-2D4B-B7D0-AFEC5A10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4F4"/>
    <w:pPr>
      <w:spacing w:after="0" w:line="240" w:lineRule="auto"/>
    </w:pPr>
    <w:rPr>
      <w:rFonts w:ascii="Verdana" w:eastAsia="Times New Roman" w:hAnsi="Verdana" w:cs="Times New Roman"/>
      <w:sz w:val="18"/>
      <w:szCs w:val="20"/>
      <w:lang w:eastAsia="fr-L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4F4"/>
    <w:rPr>
      <w:rFonts w:ascii="Tahoma" w:hAnsi="Tahoma" w:cs="Tahoma"/>
      <w:sz w:val="16"/>
      <w:szCs w:val="16"/>
    </w:rPr>
  </w:style>
  <w:style w:type="character" w:customStyle="1" w:styleId="BalloonTextChar">
    <w:name w:val="Balloon Text Char"/>
    <w:basedOn w:val="DefaultParagraphFont"/>
    <w:link w:val="BalloonText"/>
    <w:uiPriority w:val="99"/>
    <w:semiHidden/>
    <w:rsid w:val="00A774F4"/>
    <w:rPr>
      <w:rFonts w:ascii="Tahoma" w:eastAsia="Times New Roman" w:hAnsi="Tahoma" w:cs="Tahoma"/>
      <w:sz w:val="16"/>
      <w:szCs w:val="16"/>
      <w:lang w:eastAsia="fr-LU"/>
    </w:rPr>
  </w:style>
  <w:style w:type="numbering" w:customStyle="1" w:styleId="BulletsAgency">
    <w:name w:val="Bullets (Agency)"/>
    <w:basedOn w:val="NoList"/>
    <w:rsid w:val="00A774F4"/>
    <w:pPr>
      <w:numPr>
        <w:numId w:val="1"/>
      </w:numPr>
    </w:pPr>
  </w:style>
  <w:style w:type="table" w:styleId="TableGrid">
    <w:name w:val="Table Grid"/>
    <w:basedOn w:val="TableNormal"/>
    <w:uiPriority w:val="59"/>
    <w:rsid w:val="00A77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Agency">
    <w:name w:val="Ref. (Agency)"/>
    <w:basedOn w:val="Normal"/>
    <w:rsid w:val="00C9486E"/>
    <w:rPr>
      <w:sz w:val="17"/>
    </w:rPr>
  </w:style>
  <w:style w:type="paragraph" w:styleId="ListParagraph">
    <w:name w:val="List Paragraph"/>
    <w:basedOn w:val="Normal"/>
    <w:uiPriority w:val="34"/>
    <w:qFormat/>
    <w:rsid w:val="00C9486E"/>
    <w:pPr>
      <w:ind w:left="720"/>
      <w:contextualSpacing/>
    </w:pPr>
    <w:rPr>
      <w:rFonts w:asciiTheme="minorHAnsi" w:eastAsiaTheme="minorHAnsi" w:hAnsiTheme="minorHAnsi" w:cstheme="minorBidi"/>
      <w:sz w:val="24"/>
      <w:szCs w:val="24"/>
      <w:lang w:val="el-GR" w:eastAsia="en-US"/>
    </w:rPr>
  </w:style>
  <w:style w:type="paragraph" w:styleId="Header">
    <w:name w:val="header"/>
    <w:basedOn w:val="Normal"/>
    <w:link w:val="HeaderChar"/>
    <w:uiPriority w:val="99"/>
    <w:unhideWhenUsed/>
    <w:rsid w:val="00C9486E"/>
    <w:pPr>
      <w:tabs>
        <w:tab w:val="center" w:pos="4153"/>
        <w:tab w:val="right" w:pos="8306"/>
      </w:tabs>
    </w:pPr>
  </w:style>
  <w:style w:type="character" w:customStyle="1" w:styleId="HeaderChar">
    <w:name w:val="Header Char"/>
    <w:basedOn w:val="DefaultParagraphFont"/>
    <w:link w:val="Header"/>
    <w:uiPriority w:val="99"/>
    <w:rsid w:val="00C9486E"/>
    <w:rPr>
      <w:rFonts w:ascii="Verdana" w:eastAsia="Times New Roman" w:hAnsi="Verdana" w:cs="Times New Roman"/>
      <w:sz w:val="18"/>
      <w:szCs w:val="20"/>
      <w:lang w:eastAsia="fr-LU"/>
    </w:rPr>
  </w:style>
  <w:style w:type="paragraph" w:styleId="Footer">
    <w:name w:val="footer"/>
    <w:basedOn w:val="Normal"/>
    <w:link w:val="FooterChar"/>
    <w:uiPriority w:val="99"/>
    <w:unhideWhenUsed/>
    <w:rsid w:val="00C9486E"/>
    <w:pPr>
      <w:tabs>
        <w:tab w:val="center" w:pos="4153"/>
        <w:tab w:val="right" w:pos="8306"/>
      </w:tabs>
    </w:pPr>
  </w:style>
  <w:style w:type="character" w:customStyle="1" w:styleId="FooterChar">
    <w:name w:val="Footer Char"/>
    <w:basedOn w:val="DefaultParagraphFont"/>
    <w:link w:val="Footer"/>
    <w:uiPriority w:val="99"/>
    <w:rsid w:val="00C9486E"/>
    <w:rPr>
      <w:rFonts w:ascii="Verdana" w:eastAsia="Times New Roman" w:hAnsi="Verdana" w:cs="Times New Roman"/>
      <w:sz w:val="18"/>
      <w:szCs w:val="20"/>
      <w:lang w:eastAsia="fr-LU"/>
    </w:rPr>
  </w:style>
  <w:style w:type="character" w:styleId="PageNumber">
    <w:name w:val="page number"/>
    <w:basedOn w:val="DefaultParagraphFont"/>
    <w:uiPriority w:val="99"/>
    <w:semiHidden/>
    <w:unhideWhenUsed/>
    <w:rsid w:val="00C9486E"/>
  </w:style>
  <w:style w:type="character" w:styleId="Hyperlink">
    <w:name w:val="Hyperlink"/>
    <w:basedOn w:val="DefaultParagraphFont"/>
    <w:uiPriority w:val="99"/>
    <w:unhideWhenUsed/>
    <w:rsid w:val="00FB04F4"/>
    <w:rPr>
      <w:color w:val="0000FF" w:themeColor="hyperlink"/>
      <w:u w:val="single"/>
    </w:rPr>
  </w:style>
  <w:style w:type="character" w:customStyle="1" w:styleId="UnresolvedMention">
    <w:name w:val="Unresolved Mention"/>
    <w:basedOn w:val="DefaultParagraphFont"/>
    <w:uiPriority w:val="99"/>
    <w:semiHidden/>
    <w:unhideWhenUsed/>
    <w:rsid w:val="00FB04F4"/>
    <w:rPr>
      <w:color w:val="605E5C"/>
      <w:shd w:val="clear" w:color="auto" w:fill="E1DFDD"/>
    </w:rPr>
  </w:style>
  <w:style w:type="paragraph" w:customStyle="1" w:styleId="BodytextAgency">
    <w:name w:val="Body text (Agency)"/>
    <w:basedOn w:val="Normal"/>
    <w:link w:val="BodytextAgencyChar"/>
    <w:rsid w:val="00485A41"/>
    <w:pPr>
      <w:spacing w:after="140" w:line="280" w:lineRule="atLeast"/>
    </w:pPr>
  </w:style>
  <w:style w:type="table" w:customStyle="1" w:styleId="TablegridAgency">
    <w:name w:val="Table grid (Agency)"/>
    <w:basedOn w:val="TableNormal"/>
    <w:rsid w:val="00485A41"/>
    <w:pPr>
      <w:spacing w:after="0" w:line="240" w:lineRule="auto"/>
    </w:pPr>
    <w:rPr>
      <w:rFonts w:ascii="Verdana" w:eastAsia="Times New Roman" w:hAnsi="Verdana" w:cs="Times New Roman"/>
      <w:sz w:val="18"/>
      <w:szCs w:val="20"/>
      <w:lang w:eastAsia="en-GB"/>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Verdana" w:hAnsi="Verdana"/>
        <w:b/>
        <w:i w:val="0"/>
        <w:sz w:val="18"/>
      </w:rPr>
      <w:tblPr/>
      <w:trPr>
        <w:tblHeader/>
      </w:trPr>
      <w:tcPr>
        <w:tcBorders>
          <w:top w:val="nil"/>
          <w:left w:val="nil"/>
          <w:bottom w:val="nil"/>
          <w:right w:val="nil"/>
          <w:insideH w:val="nil"/>
          <w:insideV w:val="nil"/>
          <w:tl2br w:val="nil"/>
          <w:tr2bl w:val="nil"/>
        </w:tcBorders>
        <w:shd w:val="clear" w:color="auto" w:fill="003399"/>
      </w:tcPr>
    </w:tblStylePr>
  </w:style>
  <w:style w:type="character" w:customStyle="1" w:styleId="BodytextAgencyChar">
    <w:name w:val="Body text (Agency) Char"/>
    <w:link w:val="BodytextAgency"/>
    <w:rsid w:val="00485A41"/>
    <w:rPr>
      <w:rFonts w:ascii="Verdana" w:eastAsia="Times New Roman" w:hAnsi="Verdana" w:cs="Times New Roman"/>
      <w:sz w:val="18"/>
      <w:szCs w:val="20"/>
      <w:lang w:eastAsia="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14352">
      <w:bodyDiv w:val="1"/>
      <w:marLeft w:val="0"/>
      <w:marRight w:val="0"/>
      <w:marTop w:val="0"/>
      <w:marBottom w:val="0"/>
      <w:divBdr>
        <w:top w:val="none" w:sz="0" w:space="0" w:color="auto"/>
        <w:left w:val="none" w:sz="0" w:space="0" w:color="auto"/>
        <w:bottom w:val="none" w:sz="0" w:space="0" w:color="auto"/>
        <w:right w:val="none" w:sz="0" w:space="0" w:color="auto"/>
      </w:divBdr>
      <w:divsChild>
        <w:div w:id="1538808575">
          <w:marLeft w:val="0"/>
          <w:marRight w:val="0"/>
          <w:marTop w:val="100"/>
          <w:marBottom w:val="0"/>
          <w:divBdr>
            <w:top w:val="none" w:sz="0" w:space="0" w:color="auto"/>
            <w:left w:val="none" w:sz="0" w:space="0" w:color="auto"/>
            <w:bottom w:val="none" w:sz="0" w:space="0" w:color="auto"/>
            <w:right w:val="none" w:sz="0" w:space="0" w:color="auto"/>
          </w:divBdr>
          <w:divsChild>
            <w:div w:id="570384336">
              <w:marLeft w:val="0"/>
              <w:marRight w:val="0"/>
              <w:marTop w:val="60"/>
              <w:marBottom w:val="0"/>
              <w:divBdr>
                <w:top w:val="none" w:sz="0" w:space="0" w:color="auto"/>
                <w:left w:val="none" w:sz="0" w:space="0" w:color="auto"/>
                <w:bottom w:val="none" w:sz="0" w:space="0" w:color="auto"/>
                <w:right w:val="none" w:sz="0" w:space="0" w:color="auto"/>
              </w:divBdr>
            </w:div>
          </w:divsChild>
        </w:div>
        <w:div w:id="1579364306">
          <w:marLeft w:val="0"/>
          <w:marRight w:val="0"/>
          <w:marTop w:val="0"/>
          <w:marBottom w:val="0"/>
          <w:divBdr>
            <w:top w:val="none" w:sz="0" w:space="0" w:color="auto"/>
            <w:left w:val="none" w:sz="0" w:space="0" w:color="auto"/>
            <w:bottom w:val="none" w:sz="0" w:space="0" w:color="auto"/>
            <w:right w:val="none" w:sz="0" w:space="0" w:color="auto"/>
          </w:divBdr>
          <w:divsChild>
            <w:div w:id="1731339669">
              <w:marLeft w:val="0"/>
              <w:marRight w:val="0"/>
              <w:marTop w:val="0"/>
              <w:marBottom w:val="0"/>
              <w:divBdr>
                <w:top w:val="none" w:sz="0" w:space="0" w:color="auto"/>
                <w:left w:val="none" w:sz="0" w:space="0" w:color="auto"/>
                <w:bottom w:val="none" w:sz="0" w:space="0" w:color="auto"/>
                <w:right w:val="none" w:sz="0" w:space="0" w:color="auto"/>
              </w:divBdr>
              <w:divsChild>
                <w:div w:id="4771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85496-B47B-4CA4-8D31-C35AE3B94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PPsaras</cp:lastModifiedBy>
  <cp:revision>2</cp:revision>
  <cp:lastPrinted>2021-07-23T06:13:00Z</cp:lastPrinted>
  <dcterms:created xsi:type="dcterms:W3CDTF">2021-10-04T11:48:00Z</dcterms:created>
  <dcterms:modified xsi:type="dcterms:W3CDTF">2021-10-04T11:48:00Z</dcterms:modified>
</cp:coreProperties>
</file>